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9E82" w14:textId="140E2DA1" w:rsidR="001E2E94" w:rsidRPr="00A63241" w:rsidRDefault="001E2E94" w:rsidP="001E2E94">
      <w:pPr>
        <w:pStyle w:val="BodyText"/>
        <w:jc w:val="center"/>
        <w:rPr>
          <w:b/>
          <w:bCs/>
          <w:sz w:val="20"/>
          <w:szCs w:val="20"/>
        </w:rPr>
      </w:pPr>
      <w:r w:rsidRPr="00A63241">
        <w:rPr>
          <w:b/>
          <w:bCs/>
          <w:sz w:val="20"/>
          <w:szCs w:val="20"/>
        </w:rPr>
        <w:t>SERVICE SPECIFICATION</w:t>
      </w:r>
      <w:r w:rsidR="00957B59" w:rsidRPr="00A63241">
        <w:rPr>
          <w:b/>
          <w:bCs/>
          <w:sz w:val="20"/>
          <w:szCs w:val="20"/>
        </w:rPr>
        <w:t xml:space="preserve"> </w:t>
      </w:r>
    </w:p>
    <w:p w14:paraId="6FDDB465" w14:textId="77777777" w:rsidR="001E2E94" w:rsidRPr="00A63241" w:rsidRDefault="001E2E94" w:rsidP="001E2E94">
      <w:pPr>
        <w:keepNext/>
        <w:suppressAutoHyphens w:val="0"/>
        <w:jc w:val="center"/>
        <w:outlineLvl w:val="1"/>
        <w:rPr>
          <w:rFonts w:cs="Arial"/>
          <w:sz w:val="20"/>
        </w:rPr>
      </w:pPr>
    </w:p>
    <w:p w14:paraId="275E785C" w14:textId="77777777" w:rsidR="001E2E94" w:rsidRPr="00A63241" w:rsidRDefault="001E2E94" w:rsidP="001E2E94">
      <w:pPr>
        <w:spacing w:line="100" w:lineRule="exact"/>
        <w:rPr>
          <w:rFonts w:cs="Arial"/>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5988"/>
      </w:tblGrid>
      <w:tr w:rsidR="001E2E94" w:rsidRPr="00FA34B0" w14:paraId="4D9968A0" w14:textId="77777777" w:rsidTr="003573F3">
        <w:trPr>
          <w:trHeight w:val="284"/>
        </w:trPr>
        <w:tc>
          <w:tcPr>
            <w:tcW w:w="3028" w:type="dxa"/>
            <w:shd w:val="clear" w:color="auto" w:fill="808080" w:themeFill="background1" w:themeFillShade="80"/>
            <w:vAlign w:val="center"/>
          </w:tcPr>
          <w:p w14:paraId="6E3C2A06"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position w:val="1"/>
                <w:sz w:val="20"/>
                <w:lang w:eastAsia="en-GB"/>
              </w:rPr>
              <w:t>Service</w:t>
            </w:r>
            <w:r w:rsidRPr="00FA34B0">
              <w:rPr>
                <w:rFonts w:eastAsia="Calibri" w:cs="Arial"/>
                <w:b/>
                <w:color w:val="FFFFFF"/>
                <w:spacing w:val="-1"/>
                <w:position w:val="1"/>
                <w:sz w:val="20"/>
                <w:lang w:eastAsia="en-GB"/>
              </w:rPr>
              <w:t xml:space="preserve"> </w:t>
            </w:r>
            <w:r w:rsidRPr="00FA34B0">
              <w:rPr>
                <w:rFonts w:eastAsia="Calibri" w:cs="Arial"/>
                <w:b/>
                <w:color w:val="FFFFFF"/>
                <w:position w:val="1"/>
                <w:sz w:val="20"/>
                <w:lang w:eastAsia="en-GB"/>
              </w:rPr>
              <w:t>S</w:t>
            </w:r>
            <w:r w:rsidRPr="00FA34B0">
              <w:rPr>
                <w:rFonts w:eastAsia="Calibri" w:cs="Arial"/>
                <w:b/>
                <w:color w:val="FFFFFF"/>
                <w:spacing w:val="-1"/>
                <w:position w:val="1"/>
                <w:sz w:val="20"/>
                <w:lang w:eastAsia="en-GB"/>
              </w:rPr>
              <w:t>p</w:t>
            </w:r>
            <w:r w:rsidRPr="00FA34B0">
              <w:rPr>
                <w:rFonts w:eastAsia="Calibri" w:cs="Arial"/>
                <w:b/>
                <w:color w:val="FFFFFF"/>
                <w:position w:val="1"/>
                <w:sz w:val="20"/>
                <w:lang w:eastAsia="en-GB"/>
              </w:rPr>
              <w:t>ecific</w:t>
            </w:r>
            <w:r w:rsidRPr="00FA34B0">
              <w:rPr>
                <w:rFonts w:eastAsia="Calibri" w:cs="Arial"/>
                <w:b/>
                <w:color w:val="FFFFFF"/>
                <w:spacing w:val="-2"/>
                <w:position w:val="1"/>
                <w:sz w:val="20"/>
                <w:lang w:eastAsia="en-GB"/>
              </w:rPr>
              <w:t>a</w:t>
            </w:r>
            <w:r w:rsidRPr="00FA34B0">
              <w:rPr>
                <w:rFonts w:eastAsia="Calibri" w:cs="Arial"/>
                <w:b/>
                <w:color w:val="FFFFFF"/>
                <w:position w:val="1"/>
                <w:sz w:val="20"/>
                <w:lang w:eastAsia="en-GB"/>
              </w:rPr>
              <w:t>ti</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 xml:space="preserve">n </w:t>
            </w:r>
            <w:r w:rsidRPr="00FA34B0">
              <w:rPr>
                <w:rFonts w:eastAsia="Calibri" w:cs="Arial"/>
                <w:b/>
                <w:color w:val="FFFFFF"/>
                <w:spacing w:val="-3"/>
                <w:position w:val="1"/>
                <w:sz w:val="20"/>
                <w:lang w:eastAsia="en-GB"/>
              </w:rPr>
              <w:t>N</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 xml:space="preserve">. </w:t>
            </w:r>
          </w:p>
        </w:tc>
        <w:tc>
          <w:tcPr>
            <w:tcW w:w="5988" w:type="dxa"/>
            <w:shd w:val="clear" w:color="auto" w:fill="auto"/>
            <w:vAlign w:val="center"/>
          </w:tcPr>
          <w:p w14:paraId="152528C2" w14:textId="77777777" w:rsidR="001E2E94" w:rsidRPr="00FA34B0" w:rsidRDefault="001E2E94" w:rsidP="003573F3">
            <w:pPr>
              <w:widowControl w:val="0"/>
              <w:rPr>
                <w:rFonts w:eastAsia="Calibri" w:cs="Arial"/>
                <w:sz w:val="20"/>
                <w:lang w:eastAsia="en-GB"/>
              </w:rPr>
            </w:pPr>
            <w:r w:rsidRPr="00FA34B0">
              <w:rPr>
                <w:rFonts w:eastAsia="Calibri" w:cs="Arial"/>
                <w:sz w:val="20"/>
                <w:lang w:eastAsia="en-GB"/>
              </w:rPr>
              <w:t>N/A</w:t>
            </w:r>
          </w:p>
        </w:tc>
      </w:tr>
      <w:tr w:rsidR="00873A5A" w:rsidRPr="00FA34B0" w14:paraId="654DE98C" w14:textId="77777777" w:rsidTr="003573F3">
        <w:trPr>
          <w:trHeight w:val="284"/>
        </w:trPr>
        <w:tc>
          <w:tcPr>
            <w:tcW w:w="3028" w:type="dxa"/>
            <w:shd w:val="clear" w:color="auto" w:fill="808080" w:themeFill="background1" w:themeFillShade="80"/>
            <w:vAlign w:val="center"/>
          </w:tcPr>
          <w:p w14:paraId="114FAD47" w14:textId="77777777" w:rsidR="00873A5A" w:rsidRPr="00FA34B0" w:rsidRDefault="00873A5A" w:rsidP="00873A5A">
            <w:pPr>
              <w:widowControl w:val="0"/>
              <w:rPr>
                <w:rFonts w:eastAsia="Calibri" w:cs="Arial"/>
                <w:b/>
                <w:color w:val="FFFFFF"/>
                <w:sz w:val="20"/>
                <w:lang w:eastAsia="en-GB"/>
              </w:rPr>
            </w:pPr>
            <w:r w:rsidRPr="00FA34B0">
              <w:rPr>
                <w:rFonts w:eastAsia="Calibri" w:cs="Arial"/>
                <w:b/>
                <w:color w:val="FFFFFF"/>
                <w:position w:val="1"/>
                <w:sz w:val="20"/>
                <w:lang w:eastAsia="en-GB"/>
              </w:rPr>
              <w:t>Service</w:t>
            </w:r>
          </w:p>
        </w:tc>
        <w:tc>
          <w:tcPr>
            <w:tcW w:w="5988" w:type="dxa"/>
            <w:shd w:val="clear" w:color="auto" w:fill="auto"/>
            <w:vAlign w:val="center"/>
          </w:tcPr>
          <w:p w14:paraId="38B72687" w14:textId="2332F25A" w:rsidR="00873A5A" w:rsidRPr="00FA34B0" w:rsidRDefault="00873A5A" w:rsidP="00873A5A">
            <w:pPr>
              <w:widowControl w:val="0"/>
              <w:rPr>
                <w:rFonts w:eastAsia="Calibri" w:cs="Arial"/>
                <w:sz w:val="20"/>
                <w:lang w:eastAsia="en-GB"/>
              </w:rPr>
            </w:pPr>
            <w:r w:rsidRPr="00DD4963">
              <w:rPr>
                <w:rFonts w:cs="Arial"/>
                <w:sz w:val="20"/>
              </w:rPr>
              <w:t>Needle and syringe programme in community pharmacies</w:t>
            </w:r>
          </w:p>
        </w:tc>
      </w:tr>
      <w:tr w:rsidR="00873A5A" w:rsidRPr="00FA34B0" w14:paraId="67C11C35" w14:textId="77777777" w:rsidTr="003573F3">
        <w:trPr>
          <w:trHeight w:val="284"/>
        </w:trPr>
        <w:tc>
          <w:tcPr>
            <w:tcW w:w="3028" w:type="dxa"/>
            <w:shd w:val="clear" w:color="auto" w:fill="808080" w:themeFill="background1" w:themeFillShade="80"/>
            <w:vAlign w:val="center"/>
          </w:tcPr>
          <w:p w14:paraId="79059E43" w14:textId="77777777" w:rsidR="00873A5A" w:rsidRPr="00FA34B0" w:rsidRDefault="00873A5A" w:rsidP="00873A5A">
            <w:pPr>
              <w:widowControl w:val="0"/>
              <w:rPr>
                <w:rFonts w:eastAsia="Calibri" w:cs="Arial"/>
                <w:b/>
                <w:color w:val="FFFFFF"/>
                <w:sz w:val="20"/>
                <w:lang w:eastAsia="en-GB"/>
              </w:rPr>
            </w:pPr>
            <w:r w:rsidRPr="00FA34B0">
              <w:rPr>
                <w:rFonts w:eastAsia="Calibri" w:cs="Arial"/>
                <w:b/>
                <w:color w:val="FFFFFF"/>
                <w:position w:val="1"/>
                <w:sz w:val="20"/>
                <w:lang w:eastAsia="en-GB"/>
              </w:rPr>
              <w:t>C</w:t>
            </w:r>
            <w:r w:rsidRPr="00FA34B0">
              <w:rPr>
                <w:rFonts w:eastAsia="Calibri" w:cs="Arial"/>
                <w:b/>
                <w:color w:val="FFFFFF"/>
                <w:spacing w:val="-1"/>
                <w:position w:val="1"/>
                <w:sz w:val="20"/>
                <w:lang w:eastAsia="en-GB"/>
              </w:rPr>
              <w:t>o</w:t>
            </w:r>
            <w:r w:rsidRPr="00FA34B0">
              <w:rPr>
                <w:rFonts w:eastAsia="Calibri" w:cs="Arial"/>
                <w:b/>
                <w:color w:val="FFFFFF"/>
                <w:spacing w:val="1"/>
                <w:position w:val="1"/>
                <w:sz w:val="20"/>
                <w:lang w:eastAsia="en-GB"/>
              </w:rPr>
              <w:t>mm</w:t>
            </w:r>
            <w:r w:rsidRPr="00FA34B0">
              <w:rPr>
                <w:rFonts w:eastAsia="Calibri" w:cs="Arial"/>
                <w:b/>
                <w:color w:val="FFFFFF"/>
                <w:position w:val="1"/>
                <w:sz w:val="20"/>
                <w:lang w:eastAsia="en-GB"/>
              </w:rPr>
              <w:t>i</w:t>
            </w:r>
            <w:r w:rsidRPr="00FA34B0">
              <w:rPr>
                <w:rFonts w:eastAsia="Calibri" w:cs="Arial"/>
                <w:b/>
                <w:color w:val="FFFFFF"/>
                <w:spacing w:val="-3"/>
                <w:position w:val="1"/>
                <w:sz w:val="20"/>
                <w:lang w:eastAsia="en-GB"/>
              </w:rPr>
              <w:t>s</w:t>
            </w:r>
            <w:r w:rsidRPr="00FA34B0">
              <w:rPr>
                <w:rFonts w:eastAsia="Calibri" w:cs="Arial"/>
                <w:b/>
                <w:color w:val="FFFFFF"/>
                <w:position w:val="1"/>
                <w:sz w:val="20"/>
                <w:lang w:eastAsia="en-GB"/>
              </w:rPr>
              <w:t>si</w:t>
            </w:r>
            <w:r w:rsidRPr="00FA34B0">
              <w:rPr>
                <w:rFonts w:eastAsia="Calibri" w:cs="Arial"/>
                <w:b/>
                <w:color w:val="FFFFFF"/>
                <w:spacing w:val="1"/>
                <w:position w:val="1"/>
                <w:sz w:val="20"/>
                <w:lang w:eastAsia="en-GB"/>
              </w:rPr>
              <w:t>o</w:t>
            </w:r>
            <w:r w:rsidRPr="00FA34B0">
              <w:rPr>
                <w:rFonts w:eastAsia="Calibri" w:cs="Arial"/>
                <w:b/>
                <w:color w:val="FFFFFF"/>
                <w:spacing w:val="-1"/>
                <w:position w:val="1"/>
                <w:sz w:val="20"/>
                <w:lang w:eastAsia="en-GB"/>
              </w:rPr>
              <w:t>n</w:t>
            </w:r>
            <w:r w:rsidRPr="00FA34B0">
              <w:rPr>
                <w:rFonts w:eastAsia="Calibri" w:cs="Arial"/>
                <w:b/>
                <w:color w:val="FFFFFF"/>
                <w:position w:val="1"/>
                <w:sz w:val="20"/>
                <w:lang w:eastAsia="en-GB"/>
              </w:rPr>
              <w:t>er</w:t>
            </w:r>
            <w:r w:rsidRPr="00FA34B0">
              <w:rPr>
                <w:rFonts w:eastAsia="Calibri" w:cs="Arial"/>
                <w:b/>
                <w:color w:val="FFFFFF"/>
                <w:spacing w:val="-2"/>
                <w:position w:val="1"/>
                <w:sz w:val="20"/>
                <w:lang w:eastAsia="en-GB"/>
              </w:rPr>
              <w:t xml:space="preserve"> </w:t>
            </w:r>
            <w:r w:rsidRPr="00FA34B0">
              <w:rPr>
                <w:rFonts w:eastAsia="Calibri" w:cs="Arial"/>
                <w:b/>
                <w:color w:val="FFFFFF"/>
                <w:spacing w:val="-1"/>
                <w:position w:val="1"/>
                <w:sz w:val="20"/>
                <w:lang w:eastAsia="en-GB"/>
              </w:rPr>
              <w:t>L</w:t>
            </w:r>
            <w:r w:rsidRPr="00FA34B0">
              <w:rPr>
                <w:rFonts w:eastAsia="Calibri" w:cs="Arial"/>
                <w:b/>
                <w:color w:val="FFFFFF"/>
                <w:position w:val="1"/>
                <w:sz w:val="20"/>
                <w:lang w:eastAsia="en-GB"/>
              </w:rPr>
              <w:t>ead</w:t>
            </w:r>
          </w:p>
        </w:tc>
        <w:tc>
          <w:tcPr>
            <w:tcW w:w="5988" w:type="dxa"/>
            <w:shd w:val="clear" w:color="auto" w:fill="auto"/>
            <w:vAlign w:val="center"/>
          </w:tcPr>
          <w:p w14:paraId="67955A96" w14:textId="77777777" w:rsidR="00873A5A" w:rsidRPr="00FA34B0" w:rsidRDefault="00873A5A" w:rsidP="00873A5A">
            <w:pPr>
              <w:widowControl w:val="0"/>
              <w:rPr>
                <w:rFonts w:eastAsia="Calibri" w:cs="Arial"/>
                <w:sz w:val="20"/>
                <w:lang w:eastAsia="en-GB"/>
              </w:rPr>
            </w:pPr>
            <w:r w:rsidRPr="00FA34B0">
              <w:rPr>
                <w:rFonts w:cs="Arial"/>
                <w:sz w:val="20"/>
              </w:rPr>
              <w:t>Jayne Hardman</w:t>
            </w:r>
          </w:p>
        </w:tc>
      </w:tr>
      <w:tr w:rsidR="00873A5A" w:rsidRPr="00FA34B0" w14:paraId="20FF3E8C" w14:textId="77777777" w:rsidTr="003573F3">
        <w:trPr>
          <w:trHeight w:val="284"/>
        </w:trPr>
        <w:tc>
          <w:tcPr>
            <w:tcW w:w="3028" w:type="dxa"/>
            <w:shd w:val="clear" w:color="auto" w:fill="808080" w:themeFill="background1" w:themeFillShade="80"/>
            <w:vAlign w:val="center"/>
          </w:tcPr>
          <w:p w14:paraId="766416C9" w14:textId="77777777" w:rsidR="00873A5A" w:rsidRPr="00FA34B0" w:rsidRDefault="00873A5A" w:rsidP="00873A5A">
            <w:pPr>
              <w:widowControl w:val="0"/>
              <w:rPr>
                <w:rFonts w:eastAsia="Calibri" w:cs="Arial"/>
                <w:b/>
                <w:color w:val="FFFFFF"/>
                <w:sz w:val="20"/>
                <w:lang w:eastAsia="en-GB"/>
              </w:rPr>
            </w:pPr>
            <w:r w:rsidRPr="00FA34B0">
              <w:rPr>
                <w:rFonts w:eastAsia="Calibri" w:cs="Arial"/>
                <w:b/>
                <w:color w:val="FFFFFF"/>
                <w:spacing w:val="1"/>
                <w:position w:val="1"/>
                <w:sz w:val="20"/>
                <w:lang w:eastAsia="en-GB"/>
              </w:rPr>
              <w:t>P</w:t>
            </w:r>
            <w:r w:rsidRPr="00FA34B0">
              <w:rPr>
                <w:rFonts w:eastAsia="Calibri" w:cs="Arial"/>
                <w:b/>
                <w:color w:val="FFFFFF"/>
                <w:position w:val="1"/>
                <w:sz w:val="20"/>
                <w:lang w:eastAsia="en-GB"/>
              </w:rPr>
              <w:t>r</w:t>
            </w:r>
            <w:r w:rsidRPr="00FA34B0">
              <w:rPr>
                <w:rFonts w:eastAsia="Calibri" w:cs="Arial"/>
                <w:b/>
                <w:color w:val="FFFFFF"/>
                <w:spacing w:val="-1"/>
                <w:position w:val="1"/>
                <w:sz w:val="20"/>
                <w:lang w:eastAsia="en-GB"/>
              </w:rPr>
              <w:t>o</w:t>
            </w:r>
            <w:r w:rsidRPr="00FA34B0">
              <w:rPr>
                <w:rFonts w:eastAsia="Calibri" w:cs="Arial"/>
                <w:b/>
                <w:color w:val="FFFFFF"/>
                <w:spacing w:val="1"/>
                <w:position w:val="1"/>
                <w:sz w:val="20"/>
                <w:lang w:eastAsia="en-GB"/>
              </w:rPr>
              <w:t>v</w:t>
            </w:r>
            <w:r w:rsidRPr="00FA34B0">
              <w:rPr>
                <w:rFonts w:eastAsia="Calibri" w:cs="Arial"/>
                <w:b/>
                <w:color w:val="FFFFFF"/>
                <w:position w:val="1"/>
                <w:sz w:val="20"/>
                <w:lang w:eastAsia="en-GB"/>
              </w:rPr>
              <w:t>i</w:t>
            </w:r>
            <w:r w:rsidRPr="00FA34B0">
              <w:rPr>
                <w:rFonts w:eastAsia="Calibri" w:cs="Arial"/>
                <w:b/>
                <w:color w:val="FFFFFF"/>
                <w:spacing w:val="-1"/>
                <w:position w:val="1"/>
                <w:sz w:val="20"/>
                <w:lang w:eastAsia="en-GB"/>
              </w:rPr>
              <w:t>d</w:t>
            </w:r>
            <w:r w:rsidRPr="00FA34B0">
              <w:rPr>
                <w:rFonts w:eastAsia="Calibri" w:cs="Arial"/>
                <w:b/>
                <w:color w:val="FFFFFF"/>
                <w:position w:val="1"/>
                <w:sz w:val="20"/>
                <w:lang w:eastAsia="en-GB"/>
              </w:rPr>
              <w:t>er</w:t>
            </w:r>
            <w:r w:rsidRPr="00FA34B0">
              <w:rPr>
                <w:rFonts w:eastAsia="Calibri" w:cs="Arial"/>
                <w:b/>
                <w:color w:val="FFFFFF"/>
                <w:spacing w:val="-1"/>
                <w:position w:val="1"/>
                <w:sz w:val="20"/>
                <w:lang w:eastAsia="en-GB"/>
              </w:rPr>
              <w:t xml:space="preserve"> </w:t>
            </w:r>
            <w:r w:rsidRPr="00FA34B0">
              <w:rPr>
                <w:rFonts w:eastAsia="Calibri" w:cs="Arial"/>
                <w:b/>
                <w:color w:val="FFFFFF"/>
                <w:spacing w:val="1"/>
                <w:position w:val="1"/>
                <w:sz w:val="20"/>
                <w:lang w:eastAsia="en-GB"/>
              </w:rPr>
              <w:t>L</w:t>
            </w:r>
            <w:r w:rsidRPr="00FA34B0">
              <w:rPr>
                <w:rFonts w:eastAsia="Calibri" w:cs="Arial"/>
                <w:b/>
                <w:color w:val="FFFFFF"/>
                <w:position w:val="1"/>
                <w:sz w:val="20"/>
                <w:lang w:eastAsia="en-GB"/>
              </w:rPr>
              <w:t>ead</w:t>
            </w:r>
          </w:p>
        </w:tc>
        <w:tc>
          <w:tcPr>
            <w:tcW w:w="5988" w:type="dxa"/>
            <w:shd w:val="clear" w:color="auto" w:fill="auto"/>
            <w:vAlign w:val="center"/>
          </w:tcPr>
          <w:p w14:paraId="78CB0EAF" w14:textId="77777777" w:rsidR="00873A5A" w:rsidRPr="00FA34B0" w:rsidRDefault="00873A5A" w:rsidP="00873A5A">
            <w:pPr>
              <w:widowControl w:val="0"/>
              <w:rPr>
                <w:rFonts w:eastAsia="Calibri" w:cs="Arial"/>
                <w:sz w:val="20"/>
                <w:lang w:eastAsia="en-GB"/>
              </w:rPr>
            </w:pPr>
            <w:r w:rsidRPr="00FA34B0">
              <w:rPr>
                <w:rFonts w:cs="Arial"/>
                <w:sz w:val="20"/>
              </w:rPr>
              <w:t>Various</w:t>
            </w:r>
          </w:p>
        </w:tc>
      </w:tr>
      <w:tr w:rsidR="00873A5A" w:rsidRPr="00FA34B0" w14:paraId="7E389DBD" w14:textId="77777777" w:rsidTr="003573F3">
        <w:trPr>
          <w:trHeight w:val="284"/>
        </w:trPr>
        <w:tc>
          <w:tcPr>
            <w:tcW w:w="3028" w:type="dxa"/>
            <w:shd w:val="clear" w:color="auto" w:fill="808080" w:themeFill="background1" w:themeFillShade="80"/>
            <w:vAlign w:val="center"/>
          </w:tcPr>
          <w:p w14:paraId="7B0F34C8" w14:textId="77777777" w:rsidR="00873A5A" w:rsidRPr="00FA34B0" w:rsidRDefault="00873A5A" w:rsidP="00873A5A">
            <w:pPr>
              <w:widowControl w:val="0"/>
              <w:rPr>
                <w:rFonts w:eastAsia="Calibri" w:cs="Arial"/>
                <w:b/>
                <w:color w:val="FFFFFF"/>
                <w:sz w:val="20"/>
                <w:lang w:eastAsia="en-GB"/>
              </w:rPr>
            </w:pPr>
            <w:r w:rsidRPr="00FA34B0">
              <w:rPr>
                <w:rFonts w:eastAsia="Calibri" w:cs="Arial"/>
                <w:b/>
                <w:color w:val="FFFFFF"/>
                <w:spacing w:val="1"/>
                <w:position w:val="1"/>
                <w:sz w:val="20"/>
                <w:lang w:eastAsia="en-GB"/>
              </w:rPr>
              <w:t>P</w:t>
            </w:r>
            <w:r w:rsidRPr="00FA34B0">
              <w:rPr>
                <w:rFonts w:eastAsia="Calibri" w:cs="Arial"/>
                <w:b/>
                <w:color w:val="FFFFFF"/>
                <w:position w:val="1"/>
                <w:sz w:val="20"/>
                <w:lang w:eastAsia="en-GB"/>
              </w:rPr>
              <w:t>er</w:t>
            </w:r>
            <w:r w:rsidRPr="00FA34B0">
              <w:rPr>
                <w:rFonts w:eastAsia="Calibri" w:cs="Arial"/>
                <w:b/>
                <w:color w:val="FFFFFF"/>
                <w:spacing w:val="-2"/>
                <w:position w:val="1"/>
                <w:sz w:val="20"/>
                <w:lang w:eastAsia="en-GB"/>
              </w:rPr>
              <w:t>i</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d</w:t>
            </w:r>
          </w:p>
        </w:tc>
        <w:tc>
          <w:tcPr>
            <w:tcW w:w="5988" w:type="dxa"/>
            <w:shd w:val="clear" w:color="auto" w:fill="auto"/>
            <w:vAlign w:val="center"/>
          </w:tcPr>
          <w:p w14:paraId="1168D824" w14:textId="7733DE2C" w:rsidR="00873A5A" w:rsidRPr="00FA34B0" w:rsidRDefault="00873A5A" w:rsidP="00873A5A">
            <w:pPr>
              <w:widowControl w:val="0"/>
              <w:rPr>
                <w:rFonts w:eastAsia="Calibri" w:cs="Arial"/>
                <w:sz w:val="20"/>
                <w:lang w:eastAsia="en-GB"/>
              </w:rPr>
            </w:pPr>
            <w:r w:rsidRPr="00FA34B0">
              <w:rPr>
                <w:rFonts w:cs="Arial"/>
                <w:sz w:val="20"/>
              </w:rPr>
              <w:t>01.04.24 – 31.03.2</w:t>
            </w:r>
            <w:r w:rsidR="005239A0">
              <w:rPr>
                <w:rFonts w:cs="Arial"/>
                <w:sz w:val="20"/>
              </w:rPr>
              <w:t>5</w:t>
            </w:r>
            <w:r w:rsidR="005F27A5">
              <w:rPr>
                <w:rFonts w:cs="Arial"/>
                <w:sz w:val="20"/>
              </w:rPr>
              <w:t xml:space="preserve"> plus one</w:t>
            </w:r>
          </w:p>
        </w:tc>
      </w:tr>
      <w:tr w:rsidR="00873A5A" w:rsidRPr="00FA34B0" w14:paraId="0FBDE1CE" w14:textId="77777777" w:rsidTr="003573F3">
        <w:trPr>
          <w:trHeight w:val="284"/>
        </w:trPr>
        <w:tc>
          <w:tcPr>
            <w:tcW w:w="3028" w:type="dxa"/>
            <w:tcBorders>
              <w:bottom w:val="single" w:sz="4" w:space="0" w:color="auto"/>
            </w:tcBorders>
            <w:shd w:val="clear" w:color="auto" w:fill="808080" w:themeFill="background1" w:themeFillShade="80"/>
            <w:vAlign w:val="center"/>
          </w:tcPr>
          <w:p w14:paraId="5D08527F" w14:textId="77777777" w:rsidR="00873A5A" w:rsidRPr="00FA34B0" w:rsidRDefault="00873A5A" w:rsidP="00873A5A">
            <w:pPr>
              <w:widowControl w:val="0"/>
              <w:rPr>
                <w:rFonts w:eastAsia="Calibri" w:cs="Arial"/>
                <w:b/>
                <w:color w:val="FFFFFF"/>
                <w:sz w:val="20"/>
                <w:lang w:eastAsia="en-GB"/>
              </w:rPr>
            </w:pPr>
            <w:r w:rsidRPr="00FA34B0">
              <w:rPr>
                <w:rFonts w:eastAsia="Calibri" w:cs="Arial"/>
                <w:b/>
                <w:color w:val="FFFFFF"/>
                <w:spacing w:val="1"/>
                <w:position w:val="1"/>
                <w:sz w:val="20"/>
                <w:lang w:eastAsia="en-GB"/>
              </w:rPr>
              <w:t>D</w:t>
            </w:r>
            <w:r w:rsidRPr="00FA34B0">
              <w:rPr>
                <w:rFonts w:eastAsia="Calibri" w:cs="Arial"/>
                <w:b/>
                <w:color w:val="FFFFFF"/>
                <w:position w:val="1"/>
                <w:sz w:val="20"/>
                <w:lang w:eastAsia="en-GB"/>
              </w:rPr>
              <w:t>ate</w:t>
            </w:r>
            <w:r w:rsidRPr="00FA34B0">
              <w:rPr>
                <w:rFonts w:eastAsia="Calibri" w:cs="Arial"/>
                <w:b/>
                <w:color w:val="FFFFFF"/>
                <w:spacing w:val="-1"/>
                <w:position w:val="1"/>
                <w:sz w:val="20"/>
                <w:lang w:eastAsia="en-GB"/>
              </w:rPr>
              <w:t xml:space="preserve"> </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f</w:t>
            </w:r>
            <w:r w:rsidRPr="00FA34B0">
              <w:rPr>
                <w:rFonts w:eastAsia="Calibri" w:cs="Arial"/>
                <w:b/>
                <w:color w:val="FFFFFF"/>
                <w:spacing w:val="-3"/>
                <w:position w:val="1"/>
                <w:sz w:val="20"/>
                <w:lang w:eastAsia="en-GB"/>
              </w:rPr>
              <w:t xml:space="preserve"> </w:t>
            </w:r>
            <w:r w:rsidRPr="00FA34B0">
              <w:rPr>
                <w:rFonts w:eastAsia="Calibri" w:cs="Arial"/>
                <w:b/>
                <w:color w:val="FFFFFF"/>
                <w:position w:val="1"/>
                <w:sz w:val="20"/>
                <w:lang w:eastAsia="en-GB"/>
              </w:rPr>
              <w:t>R</w:t>
            </w:r>
            <w:r w:rsidRPr="00FA34B0">
              <w:rPr>
                <w:rFonts w:eastAsia="Calibri" w:cs="Arial"/>
                <w:b/>
                <w:color w:val="FFFFFF"/>
                <w:spacing w:val="-1"/>
                <w:position w:val="1"/>
                <w:sz w:val="20"/>
                <w:lang w:eastAsia="en-GB"/>
              </w:rPr>
              <w:t>e</w:t>
            </w:r>
            <w:r w:rsidRPr="00FA34B0">
              <w:rPr>
                <w:rFonts w:eastAsia="Calibri" w:cs="Arial"/>
                <w:b/>
                <w:color w:val="FFFFFF"/>
                <w:spacing w:val="1"/>
                <w:position w:val="1"/>
                <w:sz w:val="20"/>
                <w:lang w:eastAsia="en-GB"/>
              </w:rPr>
              <w:t>v</w:t>
            </w:r>
            <w:r w:rsidRPr="00FA34B0">
              <w:rPr>
                <w:rFonts w:eastAsia="Calibri" w:cs="Arial"/>
                <w:b/>
                <w:color w:val="FFFFFF"/>
                <w:position w:val="1"/>
                <w:sz w:val="20"/>
                <w:lang w:eastAsia="en-GB"/>
              </w:rPr>
              <w:t>i</w:t>
            </w:r>
            <w:r w:rsidRPr="00FA34B0">
              <w:rPr>
                <w:rFonts w:eastAsia="Calibri" w:cs="Arial"/>
                <w:b/>
                <w:color w:val="FFFFFF"/>
                <w:spacing w:val="-2"/>
                <w:position w:val="1"/>
                <w:sz w:val="20"/>
                <w:lang w:eastAsia="en-GB"/>
              </w:rPr>
              <w:t>e</w:t>
            </w:r>
            <w:r w:rsidRPr="00FA34B0">
              <w:rPr>
                <w:rFonts w:eastAsia="Calibri" w:cs="Arial"/>
                <w:b/>
                <w:color w:val="FFFFFF"/>
                <w:position w:val="1"/>
                <w:sz w:val="20"/>
                <w:lang w:eastAsia="en-GB"/>
              </w:rPr>
              <w:t>w</w:t>
            </w:r>
          </w:p>
        </w:tc>
        <w:tc>
          <w:tcPr>
            <w:tcW w:w="5988" w:type="dxa"/>
            <w:tcBorders>
              <w:bottom w:val="single" w:sz="4" w:space="0" w:color="auto"/>
            </w:tcBorders>
            <w:shd w:val="clear" w:color="auto" w:fill="auto"/>
            <w:vAlign w:val="center"/>
          </w:tcPr>
          <w:p w14:paraId="2351AF46" w14:textId="7B34B657" w:rsidR="00873A5A" w:rsidRPr="00FA34B0" w:rsidRDefault="00873A5A" w:rsidP="00873A5A">
            <w:pPr>
              <w:widowControl w:val="0"/>
              <w:rPr>
                <w:rFonts w:eastAsia="Calibri" w:cs="Arial"/>
                <w:sz w:val="20"/>
                <w:lang w:eastAsia="en-GB"/>
              </w:rPr>
            </w:pPr>
            <w:r w:rsidRPr="00FA34B0">
              <w:rPr>
                <w:rFonts w:eastAsia="Calibri" w:cs="Arial"/>
                <w:sz w:val="20"/>
              </w:rPr>
              <w:t>J</w:t>
            </w:r>
            <w:r w:rsidR="00A053D8">
              <w:rPr>
                <w:rFonts w:eastAsia="Calibri" w:cs="Arial"/>
                <w:sz w:val="20"/>
              </w:rPr>
              <w:t>anuary 2026</w:t>
            </w:r>
          </w:p>
        </w:tc>
      </w:tr>
    </w:tbl>
    <w:p w14:paraId="1C522535" w14:textId="77777777" w:rsidR="00312F8F" w:rsidRPr="00FA34B0" w:rsidRDefault="00312F8F">
      <w:pPr>
        <w:rPr>
          <w:rFonts w:cs="Arial"/>
          <w:sz w:val="20"/>
        </w:rPr>
      </w:pPr>
    </w:p>
    <w:tbl>
      <w:tblPr>
        <w:tblStyle w:val="TableGrid"/>
        <w:tblW w:w="0" w:type="auto"/>
        <w:tblLook w:val="04A0" w:firstRow="1" w:lastRow="0" w:firstColumn="1" w:lastColumn="0" w:noHBand="0" w:noVBand="1"/>
      </w:tblPr>
      <w:tblGrid>
        <w:gridCol w:w="9016"/>
      </w:tblGrid>
      <w:tr w:rsidR="001E2E94" w:rsidRPr="00FA34B0" w14:paraId="58FAE87B" w14:textId="77777777" w:rsidTr="006969ED">
        <w:tc>
          <w:tcPr>
            <w:tcW w:w="9016" w:type="dxa"/>
            <w:shd w:val="clear" w:color="auto" w:fill="BFBFBF" w:themeFill="background1" w:themeFillShade="BF"/>
          </w:tcPr>
          <w:p w14:paraId="5F6FA432" w14:textId="1EC47320" w:rsidR="001E2E94" w:rsidRPr="00FA34B0" w:rsidRDefault="001E2E94" w:rsidP="001E2E94">
            <w:pPr>
              <w:rPr>
                <w:rFonts w:cs="Arial"/>
                <w:b/>
                <w:bCs/>
                <w:sz w:val="20"/>
              </w:rPr>
            </w:pPr>
            <w:r w:rsidRPr="00FA34B0">
              <w:rPr>
                <w:rFonts w:cs="Arial"/>
                <w:b/>
                <w:bCs/>
                <w:sz w:val="20"/>
              </w:rPr>
              <w:t>1. Population Needs</w:t>
            </w:r>
          </w:p>
        </w:tc>
      </w:tr>
      <w:tr w:rsidR="001E2E94" w:rsidRPr="00FA34B0" w14:paraId="4DE625CC" w14:textId="77777777" w:rsidTr="001E2E94">
        <w:tc>
          <w:tcPr>
            <w:tcW w:w="9016" w:type="dxa"/>
          </w:tcPr>
          <w:p w14:paraId="2D78C9CC" w14:textId="57493408" w:rsidR="001E2E94" w:rsidRPr="006969ED" w:rsidRDefault="001E2E94" w:rsidP="001E2E94">
            <w:pPr>
              <w:rPr>
                <w:rFonts w:cs="Arial"/>
                <w:b/>
                <w:bCs/>
                <w:sz w:val="20"/>
              </w:rPr>
            </w:pPr>
            <w:r w:rsidRPr="006969ED">
              <w:rPr>
                <w:rFonts w:cs="Arial"/>
                <w:b/>
                <w:bCs/>
                <w:sz w:val="20"/>
              </w:rPr>
              <w:t xml:space="preserve">1.1 National context </w:t>
            </w:r>
          </w:p>
          <w:p w14:paraId="1D49EF79" w14:textId="77777777" w:rsidR="009B066A" w:rsidRPr="00923576" w:rsidRDefault="009B066A" w:rsidP="009B066A">
            <w:pPr>
              <w:contextualSpacing/>
              <w:rPr>
                <w:rFonts w:cs="Arial"/>
                <w:sz w:val="20"/>
              </w:rPr>
            </w:pPr>
            <w:r w:rsidRPr="00923576">
              <w:rPr>
                <w:rFonts w:cs="Arial"/>
                <w:sz w:val="20"/>
              </w:rPr>
              <w:t>The National Drugs Strategy contains two overarching aims to reduce illicit and other harmful drug use and increase the numbers recovering from their dependence through reducing demand, restricting supply and building recovery in communities.</w:t>
            </w:r>
          </w:p>
          <w:p w14:paraId="312426CA" w14:textId="5B38FDA8" w:rsidR="00BB2A12" w:rsidRPr="00FA34B0" w:rsidRDefault="00BB2A12" w:rsidP="001E2E94">
            <w:pPr>
              <w:contextualSpacing/>
              <w:rPr>
                <w:rFonts w:cs="Arial"/>
                <w:sz w:val="20"/>
              </w:rPr>
            </w:pPr>
          </w:p>
          <w:p w14:paraId="5C1EC2EE" w14:textId="77777777" w:rsidR="001E2E94" w:rsidRDefault="001E2E94" w:rsidP="001E2E94">
            <w:pPr>
              <w:rPr>
                <w:rFonts w:cs="Arial"/>
                <w:b/>
                <w:bCs/>
                <w:sz w:val="20"/>
              </w:rPr>
            </w:pPr>
            <w:r w:rsidRPr="006969ED">
              <w:rPr>
                <w:rFonts w:cs="Arial"/>
                <w:b/>
                <w:bCs/>
                <w:sz w:val="20"/>
              </w:rPr>
              <w:t xml:space="preserve">1.2 Local context </w:t>
            </w:r>
          </w:p>
          <w:p w14:paraId="470E2FDE" w14:textId="77777777" w:rsidR="00FB00E8" w:rsidRPr="00923576" w:rsidRDefault="00FB00E8" w:rsidP="00FB00E8">
            <w:pPr>
              <w:contextualSpacing/>
              <w:rPr>
                <w:rFonts w:cs="Arial"/>
                <w:sz w:val="20"/>
              </w:rPr>
            </w:pPr>
            <w:r>
              <w:rPr>
                <w:rFonts w:cs="Arial"/>
                <w:sz w:val="20"/>
              </w:rPr>
              <w:t>Halton’s Drug Strategy</w:t>
            </w:r>
            <w:r w:rsidRPr="00923576">
              <w:rPr>
                <w:rFonts w:cs="Arial"/>
                <w:sz w:val="20"/>
              </w:rPr>
              <w:t xml:space="preserve"> sets out the local response to the National Drug Strategy. Data from the local Strategy reveals that:</w:t>
            </w:r>
          </w:p>
          <w:p w14:paraId="064F3803" w14:textId="77777777" w:rsidR="00FB00E8" w:rsidRPr="00923576" w:rsidRDefault="00FB00E8" w:rsidP="00FB00E8">
            <w:pPr>
              <w:contextualSpacing/>
              <w:rPr>
                <w:rFonts w:cs="Arial"/>
                <w:sz w:val="20"/>
              </w:rPr>
            </w:pPr>
          </w:p>
          <w:p w14:paraId="28246ED5" w14:textId="77777777" w:rsidR="00FB00E8" w:rsidRPr="00923576" w:rsidRDefault="00FB00E8" w:rsidP="00FB00E8">
            <w:pPr>
              <w:pStyle w:val="ListParagraph"/>
              <w:numPr>
                <w:ilvl w:val="0"/>
                <w:numId w:val="13"/>
              </w:numPr>
              <w:suppressAutoHyphens w:val="0"/>
              <w:rPr>
                <w:rFonts w:cs="Arial"/>
                <w:sz w:val="20"/>
              </w:rPr>
            </w:pPr>
            <w:r w:rsidRPr="00923576">
              <w:rPr>
                <w:rFonts w:cs="Arial"/>
                <w:sz w:val="20"/>
              </w:rPr>
              <w:t>Halton has a significant burden of risk factors associated with starting to take drugs.</w:t>
            </w:r>
          </w:p>
          <w:p w14:paraId="18BCAD82" w14:textId="77777777" w:rsidR="00FB00E8" w:rsidRPr="00923576" w:rsidRDefault="00FB00E8" w:rsidP="00FB00E8">
            <w:pPr>
              <w:contextualSpacing/>
              <w:rPr>
                <w:rFonts w:cs="Arial"/>
                <w:sz w:val="20"/>
              </w:rPr>
            </w:pPr>
          </w:p>
          <w:p w14:paraId="19591CAF" w14:textId="77777777" w:rsidR="00FB00E8" w:rsidRPr="00923576" w:rsidRDefault="00FB00E8" w:rsidP="00FB00E8">
            <w:pPr>
              <w:pStyle w:val="ListParagraph"/>
              <w:numPr>
                <w:ilvl w:val="0"/>
                <w:numId w:val="13"/>
              </w:numPr>
              <w:suppressAutoHyphens w:val="0"/>
              <w:rPr>
                <w:rFonts w:cs="Arial"/>
                <w:sz w:val="20"/>
              </w:rPr>
            </w:pPr>
            <w:r w:rsidRPr="00923576">
              <w:rPr>
                <w:rFonts w:cs="Arial"/>
                <w:sz w:val="20"/>
              </w:rPr>
              <w:t xml:space="preserve">The Hepatitis B vaccination rate in Halton for intravenous drug users is lower than regional and national rates. </w:t>
            </w:r>
          </w:p>
          <w:p w14:paraId="0AAE31DB" w14:textId="77777777" w:rsidR="00FB00E8" w:rsidRPr="00923576" w:rsidRDefault="00FB00E8" w:rsidP="00FB00E8">
            <w:pPr>
              <w:contextualSpacing/>
              <w:rPr>
                <w:rFonts w:cs="Arial"/>
                <w:sz w:val="20"/>
              </w:rPr>
            </w:pPr>
          </w:p>
          <w:p w14:paraId="57BB4E96" w14:textId="77777777" w:rsidR="00FB00E8" w:rsidRPr="00923576" w:rsidRDefault="00FB00E8" w:rsidP="00FB00E8">
            <w:pPr>
              <w:pStyle w:val="ListParagraph"/>
              <w:numPr>
                <w:ilvl w:val="0"/>
                <w:numId w:val="13"/>
              </w:numPr>
              <w:suppressAutoHyphens w:val="0"/>
              <w:rPr>
                <w:rFonts w:cs="Arial"/>
                <w:sz w:val="20"/>
              </w:rPr>
            </w:pPr>
            <w:r w:rsidRPr="00923576">
              <w:rPr>
                <w:rFonts w:cs="Arial"/>
                <w:sz w:val="20"/>
              </w:rPr>
              <w:t>The majority of people accessing drug treatment services are males aged between 20 and 49 with heroin being the most common drug used.</w:t>
            </w:r>
          </w:p>
          <w:p w14:paraId="47C2BAE4" w14:textId="77777777" w:rsidR="00FB00E8" w:rsidRPr="00DD4963" w:rsidRDefault="00FB00E8" w:rsidP="00FB00E8">
            <w:pPr>
              <w:contextualSpacing/>
              <w:rPr>
                <w:rFonts w:cs="Arial"/>
                <w:sz w:val="20"/>
              </w:rPr>
            </w:pPr>
          </w:p>
          <w:p w14:paraId="11CED6AC" w14:textId="7FC6DDBF" w:rsidR="00FB00E8" w:rsidRPr="006969ED" w:rsidRDefault="00FB00E8" w:rsidP="00FB00E8">
            <w:pPr>
              <w:rPr>
                <w:rFonts w:cs="Arial"/>
                <w:b/>
                <w:bCs/>
                <w:sz w:val="20"/>
              </w:rPr>
            </w:pPr>
            <w:r w:rsidRPr="00DD4963">
              <w:rPr>
                <w:rFonts w:cs="Arial"/>
                <w:sz w:val="20"/>
              </w:rPr>
              <w:t xml:space="preserve">In response to Audit </w:t>
            </w:r>
            <w:r w:rsidR="003D0F8B">
              <w:rPr>
                <w:rFonts w:cs="Arial"/>
                <w:sz w:val="20"/>
              </w:rPr>
              <w:t>C</w:t>
            </w:r>
            <w:r w:rsidRPr="00DD4963">
              <w:rPr>
                <w:rFonts w:cs="Arial"/>
                <w:sz w:val="20"/>
              </w:rPr>
              <w:t>ommission reports which highlighted that users experience complex and interrelated social and psychological problems, Halton developed a one stop shop approach at Ashley House, Widnes where drug users are able to access a wide range of support services</w:t>
            </w:r>
            <w:r>
              <w:rPr>
                <w:rFonts w:cs="Arial"/>
                <w:sz w:val="20"/>
              </w:rPr>
              <w:t>.</w:t>
            </w:r>
          </w:p>
          <w:p w14:paraId="1954B273" w14:textId="77777777" w:rsidR="00467E05" w:rsidRPr="00DD4963" w:rsidRDefault="00467E05" w:rsidP="00467E05">
            <w:pPr>
              <w:autoSpaceDE w:val="0"/>
              <w:autoSpaceDN w:val="0"/>
              <w:adjustRightInd w:val="0"/>
              <w:contextualSpacing/>
              <w:rPr>
                <w:rFonts w:cs="Arial"/>
                <w:sz w:val="20"/>
              </w:rPr>
            </w:pPr>
            <w:r w:rsidRPr="00DD4963">
              <w:rPr>
                <w:rFonts w:cs="Arial"/>
                <w:sz w:val="20"/>
              </w:rPr>
              <w:t>Community pharmacists are ideally placed to link in with the specialist Needle and Syringe Programme (NSP) in Halton to meet the need of injecting drug users for clean injecting equipment within an agreed and structured protocol.</w:t>
            </w:r>
          </w:p>
          <w:p w14:paraId="614E9D86" w14:textId="77777777" w:rsidR="00467E05" w:rsidRPr="00DD4963" w:rsidRDefault="00467E05" w:rsidP="00467E05">
            <w:pPr>
              <w:autoSpaceDE w:val="0"/>
              <w:autoSpaceDN w:val="0"/>
              <w:adjustRightInd w:val="0"/>
              <w:contextualSpacing/>
              <w:rPr>
                <w:rFonts w:cs="Arial"/>
                <w:sz w:val="20"/>
              </w:rPr>
            </w:pPr>
          </w:p>
          <w:p w14:paraId="1FFDFCEA" w14:textId="77777777" w:rsidR="00467E05" w:rsidRDefault="00467E05" w:rsidP="00467E05">
            <w:pPr>
              <w:rPr>
                <w:rFonts w:cs="Arial"/>
                <w:sz w:val="20"/>
              </w:rPr>
            </w:pPr>
            <w:r w:rsidRPr="00DD4963">
              <w:rPr>
                <w:rFonts w:cs="Arial"/>
                <w:sz w:val="20"/>
              </w:rPr>
              <w:t>A valuable supportive relationship often develops between the pharmacist and the patient. Regular contact allows the pharmacist to monitor patient compliance and offer advice and responses on apparent issues for concern. The pharmacist thus has an important role to play in advocating treatment and as a result may contribute to the patient’s treatment journey.</w:t>
            </w:r>
          </w:p>
          <w:p w14:paraId="2CB59A1D" w14:textId="6808BD1B" w:rsidR="00F82814" w:rsidRPr="00FA34B0" w:rsidRDefault="00F82814" w:rsidP="00131B78">
            <w:pPr>
              <w:rPr>
                <w:rFonts w:cs="Arial"/>
                <w:sz w:val="20"/>
              </w:rPr>
            </w:pPr>
          </w:p>
        </w:tc>
      </w:tr>
      <w:tr w:rsidR="001E2E94" w:rsidRPr="00FA34B0" w14:paraId="1B3BD82D" w14:textId="77777777" w:rsidTr="006969ED">
        <w:tc>
          <w:tcPr>
            <w:tcW w:w="9016" w:type="dxa"/>
            <w:shd w:val="clear" w:color="auto" w:fill="BFBFBF" w:themeFill="background1" w:themeFillShade="BF"/>
          </w:tcPr>
          <w:p w14:paraId="1144E618" w14:textId="0671FB40" w:rsidR="001E2E94" w:rsidRPr="006969ED" w:rsidRDefault="001E2E94">
            <w:pPr>
              <w:rPr>
                <w:rFonts w:cs="Arial"/>
                <w:b/>
                <w:bCs/>
                <w:sz w:val="20"/>
              </w:rPr>
            </w:pPr>
            <w:r w:rsidRPr="006969ED">
              <w:rPr>
                <w:rFonts w:cs="Arial"/>
                <w:b/>
                <w:bCs/>
                <w:sz w:val="20"/>
              </w:rPr>
              <w:t>2. Outcomes</w:t>
            </w:r>
          </w:p>
        </w:tc>
      </w:tr>
      <w:tr w:rsidR="001E2E94" w:rsidRPr="00FA34B0" w14:paraId="0BCA9D16" w14:textId="77777777" w:rsidTr="001E2E94">
        <w:tc>
          <w:tcPr>
            <w:tcW w:w="9016" w:type="dxa"/>
          </w:tcPr>
          <w:p w14:paraId="448B75D0" w14:textId="194A4761" w:rsidR="00C65C94" w:rsidRPr="00664006" w:rsidRDefault="006669CE" w:rsidP="003A7017">
            <w:pPr>
              <w:rPr>
                <w:rFonts w:cs="Arial"/>
                <w:color w:val="FF0000"/>
                <w:sz w:val="20"/>
              </w:rPr>
            </w:pPr>
            <w:r w:rsidRPr="00DD4963">
              <w:rPr>
                <w:rFonts w:cs="Arial"/>
                <w:sz w:val="20"/>
              </w:rPr>
              <w:t xml:space="preserve">The service will contribute to one of the key aims of Halton’s Drugs Strategy to prevent and reduce </w:t>
            </w:r>
            <w:r w:rsidRPr="0072780D">
              <w:rPr>
                <w:rFonts w:cs="Arial"/>
                <w:sz w:val="20"/>
              </w:rPr>
              <w:t>harmful drug use and the priority to improve individual physical and mental wellbeing</w:t>
            </w:r>
            <w:r w:rsidR="003A6DD6" w:rsidRPr="0072780D">
              <w:rPr>
                <w:rFonts w:cs="Arial"/>
                <w:sz w:val="20"/>
              </w:rPr>
              <w:t xml:space="preserve"> in</w:t>
            </w:r>
            <w:r w:rsidR="003A7017" w:rsidRPr="0072780D">
              <w:rPr>
                <w:rFonts w:cs="Arial"/>
                <w:sz w:val="20"/>
              </w:rPr>
              <w:t xml:space="preserve"> addition to contributing to the following objectives within the Public Health Outcomes Framework:</w:t>
            </w:r>
          </w:p>
          <w:p w14:paraId="5EACEA25" w14:textId="77777777" w:rsidR="00C65C94" w:rsidRPr="00664006" w:rsidRDefault="00C65C94" w:rsidP="006669CE">
            <w:pPr>
              <w:rPr>
                <w:rFonts w:cs="Arial"/>
                <w:color w:val="FF0000"/>
                <w:sz w:val="20"/>
              </w:rPr>
            </w:pPr>
          </w:p>
          <w:p w14:paraId="56CA7200" w14:textId="48DB8565" w:rsidR="00C65C94" w:rsidRPr="0072780D" w:rsidRDefault="00664006" w:rsidP="003A7017">
            <w:pPr>
              <w:pStyle w:val="ListParagraph"/>
              <w:numPr>
                <w:ilvl w:val="0"/>
                <w:numId w:val="27"/>
              </w:numPr>
              <w:rPr>
                <w:rFonts w:cs="Arial"/>
                <w:sz w:val="20"/>
              </w:rPr>
            </w:pPr>
            <w:r w:rsidRPr="0072780D">
              <w:rPr>
                <w:rFonts w:cs="Arial"/>
                <w:sz w:val="20"/>
              </w:rPr>
              <w:t>C19a – Successful completion of drug treatment: opiate users</w:t>
            </w:r>
          </w:p>
          <w:p w14:paraId="1C966833" w14:textId="1CD0A490" w:rsidR="00664006" w:rsidRPr="0072780D" w:rsidRDefault="00664006" w:rsidP="003A7017">
            <w:pPr>
              <w:pStyle w:val="ListParagraph"/>
              <w:numPr>
                <w:ilvl w:val="0"/>
                <w:numId w:val="27"/>
              </w:numPr>
              <w:rPr>
                <w:rFonts w:cs="Arial"/>
                <w:sz w:val="20"/>
              </w:rPr>
            </w:pPr>
            <w:r w:rsidRPr="0072780D">
              <w:rPr>
                <w:rFonts w:cs="Arial"/>
                <w:sz w:val="20"/>
              </w:rPr>
              <w:t>C19b - Successful completion of drug treatment: non opiate users</w:t>
            </w:r>
          </w:p>
          <w:p w14:paraId="2DCC858D" w14:textId="6BD1C0FA" w:rsidR="00C65C94" w:rsidRPr="0072780D" w:rsidRDefault="00C65C94" w:rsidP="003A7017">
            <w:pPr>
              <w:pStyle w:val="ListParagraph"/>
              <w:numPr>
                <w:ilvl w:val="0"/>
                <w:numId w:val="27"/>
              </w:numPr>
              <w:rPr>
                <w:rFonts w:cs="Arial"/>
                <w:sz w:val="20"/>
              </w:rPr>
            </w:pPr>
            <w:r w:rsidRPr="0072780D">
              <w:rPr>
                <w:rFonts w:cs="Arial"/>
                <w:sz w:val="20"/>
              </w:rPr>
              <w:t>C19d – Deaths from drug misuse</w:t>
            </w:r>
          </w:p>
          <w:p w14:paraId="13A2F3D3" w14:textId="1F37FFB3" w:rsidR="00664006" w:rsidRPr="0072780D" w:rsidRDefault="00664006" w:rsidP="003A7017">
            <w:pPr>
              <w:pStyle w:val="ListParagraph"/>
              <w:numPr>
                <w:ilvl w:val="0"/>
                <w:numId w:val="27"/>
              </w:numPr>
              <w:rPr>
                <w:rFonts w:cs="Arial"/>
                <w:sz w:val="20"/>
              </w:rPr>
            </w:pPr>
            <w:r w:rsidRPr="0072780D">
              <w:rPr>
                <w:rFonts w:cs="Arial"/>
                <w:sz w:val="20"/>
              </w:rPr>
              <w:t>C20 – Adults with substance misuse treatment need who successfully engage in community based structured treatment following release from prison</w:t>
            </w:r>
          </w:p>
          <w:p w14:paraId="79456E1E" w14:textId="77777777" w:rsidR="001E2E94" w:rsidRPr="0072780D" w:rsidRDefault="00664006" w:rsidP="003A7017">
            <w:pPr>
              <w:pStyle w:val="ListParagraph"/>
              <w:numPr>
                <w:ilvl w:val="0"/>
                <w:numId w:val="27"/>
              </w:numPr>
              <w:rPr>
                <w:rFonts w:cs="Arial"/>
                <w:sz w:val="20"/>
              </w:rPr>
            </w:pPr>
            <w:r w:rsidRPr="0072780D">
              <w:rPr>
                <w:rFonts w:cs="Arial"/>
                <w:sz w:val="20"/>
              </w:rPr>
              <w:t>E03 – Under 75 mortality rate from causes considered preventable</w:t>
            </w:r>
          </w:p>
          <w:p w14:paraId="61E0E553" w14:textId="4BAE3FBA" w:rsidR="003A7017" w:rsidRPr="003A7017" w:rsidRDefault="003A7017" w:rsidP="003A7017">
            <w:pPr>
              <w:ind w:left="360"/>
              <w:rPr>
                <w:rFonts w:cs="Arial"/>
                <w:color w:val="FF0000"/>
                <w:sz w:val="20"/>
              </w:rPr>
            </w:pPr>
          </w:p>
        </w:tc>
      </w:tr>
      <w:tr w:rsidR="001E2E94" w:rsidRPr="00FA34B0" w14:paraId="4D44D88E" w14:textId="77777777" w:rsidTr="006969ED">
        <w:tc>
          <w:tcPr>
            <w:tcW w:w="9016" w:type="dxa"/>
            <w:shd w:val="clear" w:color="auto" w:fill="BFBFBF" w:themeFill="background1" w:themeFillShade="BF"/>
          </w:tcPr>
          <w:p w14:paraId="76F91919" w14:textId="64A33BE4" w:rsidR="001E2E94" w:rsidRPr="006969ED" w:rsidRDefault="001E2E94">
            <w:pPr>
              <w:rPr>
                <w:rFonts w:cs="Arial"/>
                <w:b/>
                <w:bCs/>
                <w:sz w:val="20"/>
              </w:rPr>
            </w:pPr>
            <w:r w:rsidRPr="006969ED">
              <w:rPr>
                <w:rFonts w:cs="Arial"/>
                <w:b/>
                <w:bCs/>
                <w:sz w:val="20"/>
              </w:rPr>
              <w:t>3. Overview</w:t>
            </w:r>
          </w:p>
        </w:tc>
      </w:tr>
      <w:tr w:rsidR="00886CA9" w:rsidRPr="00FA34B0" w14:paraId="364F763D" w14:textId="77777777" w:rsidTr="00886CA9">
        <w:tc>
          <w:tcPr>
            <w:tcW w:w="9016" w:type="dxa"/>
            <w:shd w:val="clear" w:color="auto" w:fill="auto"/>
          </w:tcPr>
          <w:p w14:paraId="70E8FDAC" w14:textId="77777777" w:rsidR="00886CA9" w:rsidRPr="006969ED" w:rsidRDefault="00886CA9" w:rsidP="00886CA9">
            <w:pPr>
              <w:rPr>
                <w:rFonts w:cs="Arial"/>
                <w:b/>
                <w:bCs/>
                <w:sz w:val="20"/>
              </w:rPr>
            </w:pPr>
            <w:r w:rsidRPr="006969ED">
              <w:rPr>
                <w:rFonts w:cs="Arial"/>
                <w:b/>
                <w:bCs/>
                <w:sz w:val="20"/>
              </w:rPr>
              <w:t>3.1 Scope</w:t>
            </w:r>
          </w:p>
          <w:p w14:paraId="3558A0B4" w14:textId="77777777" w:rsidR="00886CA9" w:rsidRDefault="00886CA9" w:rsidP="00886CA9">
            <w:pPr>
              <w:contextualSpacing/>
              <w:rPr>
                <w:rFonts w:cs="Arial"/>
                <w:bCs/>
                <w:sz w:val="20"/>
              </w:rPr>
            </w:pPr>
            <w:r w:rsidRPr="00DD4963">
              <w:rPr>
                <w:rFonts w:cs="Arial"/>
                <w:bCs/>
                <w:sz w:val="20"/>
              </w:rPr>
              <w:t>This contract relates to the provision of a Needle and Syringe Programme (NSP) within community pharmacy in Halton.</w:t>
            </w:r>
          </w:p>
          <w:p w14:paraId="21485800" w14:textId="77777777" w:rsidR="0072780D" w:rsidRPr="00DD4963" w:rsidRDefault="0072780D" w:rsidP="00886CA9">
            <w:pPr>
              <w:contextualSpacing/>
              <w:rPr>
                <w:rFonts w:cs="Arial"/>
                <w:bCs/>
                <w:sz w:val="20"/>
              </w:rPr>
            </w:pPr>
          </w:p>
          <w:p w14:paraId="2419DE8D" w14:textId="77777777" w:rsidR="00886CA9" w:rsidRPr="00FA34B0" w:rsidRDefault="00886CA9" w:rsidP="00886CA9">
            <w:pPr>
              <w:contextualSpacing/>
              <w:rPr>
                <w:rFonts w:cs="Arial"/>
                <w:bCs/>
                <w:sz w:val="20"/>
              </w:rPr>
            </w:pPr>
          </w:p>
          <w:p w14:paraId="0F7B93CD" w14:textId="77777777" w:rsidR="00886CA9" w:rsidRPr="00BB19B1" w:rsidRDefault="00886CA9" w:rsidP="00886CA9">
            <w:pPr>
              <w:rPr>
                <w:rFonts w:cs="Arial"/>
                <w:b/>
                <w:bCs/>
                <w:sz w:val="20"/>
              </w:rPr>
            </w:pPr>
            <w:r w:rsidRPr="00BB19B1">
              <w:rPr>
                <w:rFonts w:cs="Arial"/>
                <w:b/>
                <w:bCs/>
                <w:sz w:val="20"/>
              </w:rPr>
              <w:lastRenderedPageBreak/>
              <w:t xml:space="preserve">3.2 Aims and objectives of service </w:t>
            </w:r>
          </w:p>
          <w:p w14:paraId="12E1EB61" w14:textId="77777777" w:rsidR="00886CA9" w:rsidRPr="00DD4963" w:rsidRDefault="00886CA9" w:rsidP="00886CA9">
            <w:pPr>
              <w:tabs>
                <w:tab w:val="left" w:pos="1524"/>
              </w:tabs>
              <w:rPr>
                <w:rFonts w:cs="Arial"/>
                <w:sz w:val="20"/>
              </w:rPr>
            </w:pPr>
            <w:r w:rsidRPr="00DD4963">
              <w:rPr>
                <w:rFonts w:cs="Arial"/>
                <w:sz w:val="20"/>
              </w:rPr>
              <w:t>The aim of the scheme is to reduce the transmission of blood borne viruses and other infections caused by sharing injecting equipment. Whilst NSPs assist in the reduction of harm to people who inject drugs, they also ultimately can benefit wider society by reducing the prevalence of blood borne viruses and also reduce the risk to the general public and makes public areas safer e.g. children’s play areas.</w:t>
            </w:r>
          </w:p>
          <w:p w14:paraId="000F9BCB" w14:textId="77777777" w:rsidR="00886CA9" w:rsidRDefault="00886CA9" w:rsidP="00886CA9">
            <w:pPr>
              <w:rPr>
                <w:rFonts w:cs="Arial"/>
                <w:sz w:val="20"/>
              </w:rPr>
            </w:pPr>
          </w:p>
          <w:p w14:paraId="71D86D05" w14:textId="77777777" w:rsidR="00886CA9" w:rsidRPr="00DD4963" w:rsidRDefault="00886CA9" w:rsidP="00886CA9">
            <w:pPr>
              <w:tabs>
                <w:tab w:val="left" w:pos="1524"/>
              </w:tabs>
              <w:rPr>
                <w:rFonts w:cs="Arial"/>
                <w:sz w:val="20"/>
              </w:rPr>
            </w:pPr>
            <w:r w:rsidRPr="00DD4963">
              <w:rPr>
                <w:rFonts w:cs="Arial"/>
                <w:sz w:val="20"/>
              </w:rPr>
              <w:t xml:space="preserve">The NSP will reduce harm to drug users and offer them opportunities to be referred into other forms of treatment which could support them to abstain from drugs altogether. </w:t>
            </w:r>
          </w:p>
          <w:p w14:paraId="16DB5474" w14:textId="77777777" w:rsidR="00886CA9" w:rsidRPr="00DD4963" w:rsidRDefault="00886CA9" w:rsidP="00886CA9">
            <w:pPr>
              <w:tabs>
                <w:tab w:val="left" w:pos="1524"/>
              </w:tabs>
              <w:rPr>
                <w:rFonts w:cs="Arial"/>
                <w:sz w:val="20"/>
              </w:rPr>
            </w:pPr>
          </w:p>
          <w:p w14:paraId="77439C29" w14:textId="77777777" w:rsidR="00886CA9" w:rsidRPr="00DD4963" w:rsidRDefault="00886CA9" w:rsidP="00886CA9">
            <w:pPr>
              <w:tabs>
                <w:tab w:val="left" w:pos="1524"/>
              </w:tabs>
              <w:rPr>
                <w:rFonts w:cs="Arial"/>
                <w:sz w:val="20"/>
              </w:rPr>
            </w:pPr>
            <w:r w:rsidRPr="00DD4963">
              <w:rPr>
                <w:rFonts w:cs="Arial"/>
                <w:sz w:val="20"/>
              </w:rPr>
              <w:t xml:space="preserve">The NSP needs to be considered as part of a comprehensive substance misuse strategy that covers prevention, treatment and harm reduction. </w:t>
            </w:r>
          </w:p>
          <w:p w14:paraId="77CACFAC" w14:textId="77777777" w:rsidR="00886CA9" w:rsidRPr="00DD4963" w:rsidRDefault="00886CA9" w:rsidP="00886CA9">
            <w:pPr>
              <w:tabs>
                <w:tab w:val="left" w:pos="1524"/>
              </w:tabs>
              <w:rPr>
                <w:rFonts w:cs="Arial"/>
                <w:sz w:val="20"/>
              </w:rPr>
            </w:pPr>
          </w:p>
          <w:p w14:paraId="3A8DE036" w14:textId="77777777" w:rsidR="00886CA9" w:rsidRPr="00DD4963" w:rsidRDefault="00886CA9" w:rsidP="00886CA9">
            <w:pPr>
              <w:rPr>
                <w:rFonts w:cs="Arial"/>
                <w:sz w:val="20"/>
              </w:rPr>
            </w:pPr>
            <w:r w:rsidRPr="00DD4963">
              <w:rPr>
                <w:rFonts w:cs="Arial"/>
                <w:sz w:val="20"/>
              </w:rPr>
              <w:t xml:space="preserve">There are many ethical issues and social values associated with NSPs. They are not attempting to condone drug use, as many may assume. The government broadened its approach to drug use in the late 1980s, moving from an emphasis on abstinence to advocating harm reduction. This aims to protect society against the effects of drug use to some extent (including crime and anti-social behaviour) and reduce the harm associated with injecting drugs. It is also possible to operate a NSP as mobile or outreach services. </w:t>
            </w:r>
          </w:p>
          <w:p w14:paraId="6FDF52A7" w14:textId="77777777" w:rsidR="00886CA9" w:rsidRDefault="00886CA9" w:rsidP="00886CA9">
            <w:pPr>
              <w:rPr>
                <w:rFonts w:cs="Arial"/>
                <w:sz w:val="20"/>
              </w:rPr>
            </w:pPr>
          </w:p>
          <w:p w14:paraId="6572C51B" w14:textId="77777777" w:rsidR="00886CA9" w:rsidRPr="00DD4963" w:rsidRDefault="00886CA9" w:rsidP="00886CA9">
            <w:pPr>
              <w:rPr>
                <w:rFonts w:cs="Arial"/>
                <w:sz w:val="20"/>
              </w:rPr>
            </w:pPr>
            <w:r w:rsidRPr="00DD4963">
              <w:rPr>
                <w:rFonts w:cs="Arial"/>
                <w:sz w:val="20"/>
              </w:rPr>
              <w:t>The objectives of the service are to:</w:t>
            </w:r>
          </w:p>
          <w:p w14:paraId="7F008122" w14:textId="77777777" w:rsidR="00886CA9" w:rsidRPr="00DD4963" w:rsidRDefault="00886CA9" w:rsidP="00886CA9">
            <w:pPr>
              <w:rPr>
                <w:rFonts w:cs="Arial"/>
                <w:sz w:val="20"/>
              </w:rPr>
            </w:pPr>
          </w:p>
          <w:p w14:paraId="5166FDDF" w14:textId="77777777" w:rsidR="00886CA9" w:rsidRPr="00923576" w:rsidRDefault="00886CA9" w:rsidP="00886CA9">
            <w:pPr>
              <w:pStyle w:val="ListParagraph"/>
              <w:numPr>
                <w:ilvl w:val="0"/>
                <w:numId w:val="14"/>
              </w:numPr>
              <w:rPr>
                <w:rFonts w:cs="Arial"/>
                <w:sz w:val="20"/>
              </w:rPr>
            </w:pPr>
            <w:r w:rsidRPr="00DD4963">
              <w:rPr>
                <w:rFonts w:cs="Arial"/>
                <w:sz w:val="20"/>
              </w:rPr>
              <w:t xml:space="preserve">Assist service users to remain healthy until they are ready and willing to cease injecting and ultimately achieve a drug-free life with appropriate support; </w:t>
            </w:r>
          </w:p>
          <w:p w14:paraId="77262C0D" w14:textId="77777777" w:rsidR="00886CA9" w:rsidRPr="00923576" w:rsidRDefault="00886CA9" w:rsidP="00886CA9">
            <w:pPr>
              <w:pStyle w:val="ListParagraph"/>
              <w:numPr>
                <w:ilvl w:val="0"/>
                <w:numId w:val="14"/>
              </w:numPr>
              <w:rPr>
                <w:rFonts w:cs="Arial"/>
                <w:sz w:val="20"/>
              </w:rPr>
            </w:pPr>
            <w:r w:rsidRPr="00DD4963">
              <w:rPr>
                <w:rFonts w:cs="Arial"/>
                <w:sz w:val="20"/>
              </w:rPr>
              <w:t>Protect health and reduce the rate of blood-borne infections and drug related deaths among service users by:</w:t>
            </w:r>
          </w:p>
          <w:p w14:paraId="0E74D8F9" w14:textId="77777777" w:rsidR="00886CA9" w:rsidRPr="00406EA2" w:rsidRDefault="00886CA9" w:rsidP="00886CA9">
            <w:pPr>
              <w:pStyle w:val="ListParagraph"/>
              <w:numPr>
                <w:ilvl w:val="1"/>
                <w:numId w:val="15"/>
              </w:numPr>
              <w:rPr>
                <w:rFonts w:cs="Arial"/>
                <w:sz w:val="20"/>
              </w:rPr>
            </w:pPr>
            <w:r w:rsidRPr="00406EA2">
              <w:rPr>
                <w:rFonts w:cs="Arial"/>
                <w:sz w:val="20"/>
              </w:rPr>
              <w:t>Reducing the rate of sharing and other high risk injecting behaviours;</w:t>
            </w:r>
          </w:p>
          <w:p w14:paraId="33B491D0" w14:textId="77777777" w:rsidR="00886CA9" w:rsidRPr="00DD4963" w:rsidRDefault="00886CA9" w:rsidP="00886CA9">
            <w:pPr>
              <w:pStyle w:val="ListParagraph"/>
              <w:numPr>
                <w:ilvl w:val="1"/>
                <w:numId w:val="15"/>
              </w:numPr>
              <w:rPr>
                <w:rFonts w:cs="Arial"/>
                <w:sz w:val="20"/>
              </w:rPr>
            </w:pPr>
            <w:r w:rsidRPr="00DD4963">
              <w:rPr>
                <w:rFonts w:cs="Arial"/>
                <w:sz w:val="20"/>
              </w:rPr>
              <w:t>Providing sterile injecting equipment and other support;</w:t>
            </w:r>
          </w:p>
          <w:p w14:paraId="314AABBC" w14:textId="77777777" w:rsidR="00886CA9" w:rsidRPr="00DD4963" w:rsidRDefault="00886CA9" w:rsidP="00886CA9">
            <w:pPr>
              <w:pStyle w:val="ListParagraph"/>
              <w:numPr>
                <w:ilvl w:val="1"/>
                <w:numId w:val="15"/>
              </w:numPr>
              <w:rPr>
                <w:rFonts w:cs="Arial"/>
                <w:sz w:val="20"/>
              </w:rPr>
            </w:pPr>
            <w:r w:rsidRPr="00DD4963">
              <w:rPr>
                <w:rFonts w:cs="Arial"/>
                <w:sz w:val="20"/>
              </w:rPr>
              <w:t>Promoting safer injecting practices; and</w:t>
            </w:r>
          </w:p>
          <w:p w14:paraId="18AB169A" w14:textId="77777777" w:rsidR="00886CA9" w:rsidRPr="00923576" w:rsidRDefault="00886CA9" w:rsidP="00886CA9">
            <w:pPr>
              <w:pStyle w:val="ListParagraph"/>
              <w:numPr>
                <w:ilvl w:val="1"/>
                <w:numId w:val="15"/>
              </w:numPr>
              <w:rPr>
                <w:rFonts w:cs="Arial"/>
                <w:sz w:val="20"/>
              </w:rPr>
            </w:pPr>
            <w:r w:rsidRPr="00DD4963">
              <w:rPr>
                <w:rFonts w:cs="Arial"/>
                <w:sz w:val="20"/>
              </w:rPr>
              <w:t>Providing and reinforcing harm reduction messages including safe sex advice and advice on overdose prevention (e.g. risks of poly-drug use and alcohol use);</w:t>
            </w:r>
          </w:p>
          <w:p w14:paraId="768EDA79" w14:textId="77777777" w:rsidR="00886CA9" w:rsidRPr="00923576" w:rsidRDefault="00886CA9" w:rsidP="00886CA9">
            <w:pPr>
              <w:pStyle w:val="ListParagraph"/>
              <w:numPr>
                <w:ilvl w:val="0"/>
                <w:numId w:val="14"/>
              </w:numPr>
              <w:rPr>
                <w:rFonts w:cs="Arial"/>
                <w:sz w:val="20"/>
              </w:rPr>
            </w:pPr>
            <w:r w:rsidRPr="00DD4963">
              <w:rPr>
                <w:rFonts w:cs="Arial"/>
                <w:sz w:val="20"/>
              </w:rPr>
              <w:t>Improve the health of local communities by preventing the spread of blood-borne infections by ensuring the safe disposal of used injecting equipment;</w:t>
            </w:r>
          </w:p>
          <w:p w14:paraId="61604D90" w14:textId="77777777" w:rsidR="00886CA9" w:rsidRPr="00923576" w:rsidRDefault="00886CA9" w:rsidP="00886CA9">
            <w:pPr>
              <w:pStyle w:val="ListParagraph"/>
              <w:numPr>
                <w:ilvl w:val="0"/>
                <w:numId w:val="14"/>
              </w:numPr>
              <w:rPr>
                <w:rFonts w:cs="Arial"/>
                <w:sz w:val="20"/>
              </w:rPr>
            </w:pPr>
            <w:r w:rsidRPr="00DD4963">
              <w:rPr>
                <w:rFonts w:cs="Arial"/>
                <w:sz w:val="20"/>
              </w:rPr>
              <w:t>Help service users access treatment by offering referral to specialist drug and alcohol treatment centres and health and social care professionals where appropriate;</w:t>
            </w:r>
          </w:p>
          <w:p w14:paraId="468C8606" w14:textId="77777777" w:rsidR="00886CA9" w:rsidRPr="00923576" w:rsidRDefault="00886CA9" w:rsidP="00886CA9">
            <w:pPr>
              <w:pStyle w:val="ListParagraph"/>
              <w:numPr>
                <w:ilvl w:val="0"/>
                <w:numId w:val="14"/>
              </w:numPr>
              <w:rPr>
                <w:rFonts w:cs="Arial"/>
                <w:sz w:val="20"/>
              </w:rPr>
            </w:pPr>
            <w:r w:rsidRPr="00DD4963">
              <w:rPr>
                <w:rFonts w:cs="Arial"/>
                <w:sz w:val="20"/>
              </w:rPr>
              <w:t>Maximise the access and retention of all injectors, especially the highly socially excluded;</w:t>
            </w:r>
          </w:p>
          <w:p w14:paraId="17FE5F8F" w14:textId="77777777" w:rsidR="00886CA9" w:rsidRPr="00DD4963" w:rsidRDefault="00886CA9" w:rsidP="00886CA9">
            <w:pPr>
              <w:pStyle w:val="ListParagraph"/>
              <w:numPr>
                <w:ilvl w:val="0"/>
                <w:numId w:val="14"/>
              </w:numPr>
              <w:rPr>
                <w:rFonts w:cs="Arial"/>
                <w:sz w:val="20"/>
              </w:rPr>
            </w:pPr>
            <w:r w:rsidRPr="00DD4963">
              <w:rPr>
                <w:rFonts w:cs="Arial"/>
                <w:sz w:val="20"/>
              </w:rPr>
              <w:t>Help service users access other health and social care services and to act as a gateway to other services - e.g. key working, prescribing, hepatitis B immunisation, hepatitis and HIV screening, primary care services etc.</w:t>
            </w:r>
          </w:p>
          <w:p w14:paraId="14A4C073" w14:textId="77777777" w:rsidR="00886CA9" w:rsidRPr="00FA34B0" w:rsidRDefault="00886CA9" w:rsidP="00886CA9">
            <w:pPr>
              <w:rPr>
                <w:rFonts w:cs="Arial"/>
                <w:sz w:val="20"/>
              </w:rPr>
            </w:pPr>
          </w:p>
          <w:p w14:paraId="0F77CAE8" w14:textId="77777777" w:rsidR="00886CA9" w:rsidRPr="006969ED" w:rsidRDefault="00886CA9" w:rsidP="00886CA9">
            <w:pPr>
              <w:rPr>
                <w:rFonts w:cs="Arial"/>
                <w:b/>
                <w:bCs/>
                <w:sz w:val="20"/>
              </w:rPr>
            </w:pPr>
            <w:r w:rsidRPr="006969ED">
              <w:rPr>
                <w:rFonts w:cs="Arial"/>
                <w:b/>
                <w:bCs/>
                <w:sz w:val="20"/>
              </w:rPr>
              <w:t>3.3 Population covered</w:t>
            </w:r>
          </w:p>
          <w:p w14:paraId="01AFD291" w14:textId="3F301C3D" w:rsidR="00886CA9" w:rsidRPr="00DD4963" w:rsidRDefault="00886CA9" w:rsidP="00886CA9">
            <w:pPr>
              <w:rPr>
                <w:rFonts w:cs="Arial"/>
                <w:bCs/>
                <w:sz w:val="20"/>
              </w:rPr>
            </w:pPr>
            <w:r w:rsidRPr="00DD4963">
              <w:rPr>
                <w:rFonts w:cs="Arial"/>
                <w:bCs/>
                <w:sz w:val="20"/>
              </w:rPr>
              <w:t xml:space="preserve">The service will be made available to users </w:t>
            </w:r>
            <w:r w:rsidR="00250512">
              <w:rPr>
                <w:rFonts w:cs="Arial"/>
                <w:b/>
                <w:bCs/>
                <w:sz w:val="20"/>
              </w:rPr>
              <w:t>aged 16 and over</w:t>
            </w:r>
            <w:r w:rsidRPr="00DD4963">
              <w:rPr>
                <w:rFonts w:cs="Arial"/>
                <w:bCs/>
                <w:sz w:val="20"/>
              </w:rPr>
              <w:t>.  Those under 16 years of age will be referred to specialist services as high priority cases.</w:t>
            </w:r>
          </w:p>
          <w:p w14:paraId="512DC590" w14:textId="77777777" w:rsidR="00886CA9" w:rsidRPr="00AF756D" w:rsidRDefault="00886CA9" w:rsidP="00886CA9">
            <w:pPr>
              <w:rPr>
                <w:rFonts w:cs="Arial"/>
                <w:b/>
                <w:bCs/>
                <w:sz w:val="20"/>
              </w:rPr>
            </w:pPr>
          </w:p>
          <w:p w14:paraId="7315EB60" w14:textId="77777777" w:rsidR="00B02F96" w:rsidRDefault="00886CA9" w:rsidP="00B02F96">
            <w:pPr>
              <w:rPr>
                <w:rFonts w:cs="Arial"/>
                <w:b/>
                <w:bCs/>
                <w:sz w:val="20"/>
              </w:rPr>
            </w:pPr>
            <w:r w:rsidRPr="00AF756D">
              <w:rPr>
                <w:rFonts w:cs="Arial"/>
                <w:b/>
                <w:bCs/>
                <w:sz w:val="20"/>
              </w:rPr>
              <w:t>3.4 Any acceptance and exclusion criteria and thresholds</w:t>
            </w:r>
          </w:p>
          <w:p w14:paraId="2EA960D9" w14:textId="5DBE92E3" w:rsidR="00B02F96" w:rsidRPr="00B02F96" w:rsidRDefault="00B02F96" w:rsidP="00B02F96">
            <w:pPr>
              <w:rPr>
                <w:rFonts w:cs="Arial"/>
                <w:b/>
                <w:bCs/>
                <w:sz w:val="22"/>
                <w:szCs w:val="22"/>
              </w:rPr>
            </w:pPr>
            <w:r w:rsidRPr="00B02F96">
              <w:rPr>
                <w:rFonts w:cs="Arial"/>
                <w:sz w:val="20"/>
                <w:lang w:eastAsia="en-GB"/>
              </w:rPr>
              <w:t xml:space="preserve">The service is available to injectors, meeting the age criteria above, including steroid users but special attention should be given to: </w:t>
            </w:r>
          </w:p>
          <w:p w14:paraId="11E3D8F5" w14:textId="77777777" w:rsidR="00886CA9" w:rsidRPr="00DD4963" w:rsidRDefault="00886CA9" w:rsidP="00886CA9">
            <w:pPr>
              <w:rPr>
                <w:rFonts w:cs="Arial"/>
                <w:bCs/>
                <w:sz w:val="20"/>
              </w:rPr>
            </w:pPr>
          </w:p>
          <w:p w14:paraId="6D06EB05" w14:textId="77777777" w:rsidR="00886CA9" w:rsidRPr="00923576" w:rsidRDefault="00886CA9" w:rsidP="00886CA9">
            <w:pPr>
              <w:pStyle w:val="ListParagraph"/>
              <w:numPr>
                <w:ilvl w:val="0"/>
                <w:numId w:val="16"/>
              </w:numPr>
              <w:contextualSpacing w:val="0"/>
              <w:rPr>
                <w:rFonts w:cs="Arial"/>
                <w:bCs/>
                <w:sz w:val="20"/>
              </w:rPr>
            </w:pPr>
            <w:r w:rsidRPr="00923576">
              <w:rPr>
                <w:rFonts w:cs="Arial"/>
                <w:bCs/>
                <w:sz w:val="20"/>
              </w:rPr>
              <w:t>Service users who are not in touch with other drug and alcohol misuse treatment services.</w:t>
            </w:r>
          </w:p>
          <w:p w14:paraId="3D730B9D" w14:textId="77777777" w:rsidR="00886CA9" w:rsidRPr="00923576" w:rsidRDefault="00886CA9" w:rsidP="00886CA9">
            <w:pPr>
              <w:pStyle w:val="ListParagraph"/>
              <w:numPr>
                <w:ilvl w:val="0"/>
                <w:numId w:val="16"/>
              </w:numPr>
              <w:contextualSpacing w:val="0"/>
              <w:rPr>
                <w:rFonts w:cs="Arial"/>
                <w:bCs/>
                <w:sz w:val="20"/>
              </w:rPr>
            </w:pPr>
            <w:r w:rsidRPr="00923576">
              <w:rPr>
                <w:rFonts w:cs="Arial"/>
                <w:bCs/>
                <w:sz w:val="20"/>
              </w:rPr>
              <w:t>Injectors who have characteristics associated with high risk injecting practices.</w:t>
            </w:r>
          </w:p>
          <w:p w14:paraId="019155FD" w14:textId="77777777" w:rsidR="00886CA9" w:rsidRPr="00923576" w:rsidRDefault="00886CA9" w:rsidP="00886CA9">
            <w:pPr>
              <w:pStyle w:val="ListParagraph"/>
              <w:numPr>
                <w:ilvl w:val="0"/>
                <w:numId w:val="16"/>
              </w:numPr>
              <w:contextualSpacing w:val="0"/>
              <w:rPr>
                <w:rFonts w:cs="Arial"/>
                <w:bCs/>
                <w:sz w:val="20"/>
              </w:rPr>
            </w:pPr>
            <w:r w:rsidRPr="00923576">
              <w:rPr>
                <w:rFonts w:cs="Arial"/>
                <w:bCs/>
                <w:sz w:val="20"/>
              </w:rPr>
              <w:t>Poly-drug users (including use of opiates, stimulants, benzodiazepine and alcohol).</w:t>
            </w:r>
          </w:p>
          <w:p w14:paraId="3F9C771E" w14:textId="77777777" w:rsidR="00886CA9" w:rsidRPr="00923576" w:rsidRDefault="00886CA9" w:rsidP="00886CA9">
            <w:pPr>
              <w:pStyle w:val="ListParagraph"/>
              <w:numPr>
                <w:ilvl w:val="0"/>
                <w:numId w:val="16"/>
              </w:numPr>
              <w:contextualSpacing w:val="0"/>
              <w:rPr>
                <w:rFonts w:cs="Arial"/>
                <w:bCs/>
                <w:sz w:val="20"/>
              </w:rPr>
            </w:pPr>
            <w:r w:rsidRPr="00923576">
              <w:rPr>
                <w:rFonts w:cs="Arial"/>
                <w:bCs/>
                <w:sz w:val="20"/>
              </w:rPr>
              <w:t xml:space="preserve">People with severe drug dependence. </w:t>
            </w:r>
          </w:p>
          <w:p w14:paraId="70929A2E" w14:textId="77777777" w:rsidR="00886CA9" w:rsidRPr="00923576" w:rsidRDefault="00886CA9" w:rsidP="00886CA9">
            <w:pPr>
              <w:pStyle w:val="ListParagraph"/>
              <w:numPr>
                <w:ilvl w:val="0"/>
                <w:numId w:val="16"/>
              </w:numPr>
              <w:contextualSpacing w:val="0"/>
              <w:rPr>
                <w:rFonts w:cs="Arial"/>
                <w:bCs/>
                <w:sz w:val="20"/>
              </w:rPr>
            </w:pPr>
            <w:r w:rsidRPr="00923576">
              <w:rPr>
                <w:rFonts w:cs="Arial"/>
                <w:bCs/>
                <w:sz w:val="20"/>
              </w:rPr>
              <w:t xml:space="preserve">Frequent injectors. </w:t>
            </w:r>
          </w:p>
          <w:p w14:paraId="4331CBAD" w14:textId="77777777" w:rsidR="00886CA9" w:rsidRPr="00923576" w:rsidRDefault="00886CA9" w:rsidP="00886CA9">
            <w:pPr>
              <w:pStyle w:val="ListParagraph"/>
              <w:numPr>
                <w:ilvl w:val="0"/>
                <w:numId w:val="16"/>
              </w:numPr>
              <w:contextualSpacing w:val="0"/>
              <w:rPr>
                <w:rFonts w:cs="Arial"/>
                <w:bCs/>
                <w:sz w:val="20"/>
              </w:rPr>
            </w:pPr>
            <w:r w:rsidRPr="00923576">
              <w:rPr>
                <w:rFonts w:cs="Arial"/>
                <w:bCs/>
                <w:sz w:val="20"/>
              </w:rPr>
              <w:t xml:space="preserve">People who have spent time in prison, especially those released from prison. </w:t>
            </w:r>
          </w:p>
          <w:p w14:paraId="685F7427" w14:textId="77777777" w:rsidR="00886CA9" w:rsidRPr="00923576" w:rsidRDefault="00886CA9" w:rsidP="00886CA9">
            <w:pPr>
              <w:pStyle w:val="ListParagraph"/>
              <w:numPr>
                <w:ilvl w:val="0"/>
                <w:numId w:val="16"/>
              </w:numPr>
              <w:contextualSpacing w:val="0"/>
              <w:rPr>
                <w:rFonts w:cs="Arial"/>
                <w:bCs/>
                <w:sz w:val="20"/>
              </w:rPr>
            </w:pPr>
            <w:r w:rsidRPr="00923576">
              <w:rPr>
                <w:rFonts w:cs="Arial"/>
                <w:bCs/>
                <w:sz w:val="20"/>
              </w:rPr>
              <w:t xml:space="preserve">People who spend more time with other injectors. </w:t>
            </w:r>
          </w:p>
          <w:p w14:paraId="30F7E0DF" w14:textId="77777777" w:rsidR="00886CA9" w:rsidRPr="00923576" w:rsidRDefault="00886CA9" w:rsidP="00886CA9">
            <w:pPr>
              <w:pStyle w:val="ListParagraph"/>
              <w:numPr>
                <w:ilvl w:val="0"/>
                <w:numId w:val="16"/>
              </w:numPr>
              <w:contextualSpacing w:val="0"/>
              <w:rPr>
                <w:rFonts w:cs="Arial"/>
                <w:bCs/>
                <w:sz w:val="20"/>
              </w:rPr>
            </w:pPr>
            <w:r w:rsidRPr="00923576">
              <w:rPr>
                <w:rFonts w:cs="Arial"/>
                <w:bCs/>
                <w:sz w:val="20"/>
              </w:rPr>
              <w:t xml:space="preserve">Homeless people or people in substandard or insecure accommodation. </w:t>
            </w:r>
          </w:p>
          <w:p w14:paraId="307AA9A6" w14:textId="77777777" w:rsidR="00886CA9" w:rsidRPr="00923576" w:rsidRDefault="00886CA9" w:rsidP="00886CA9">
            <w:pPr>
              <w:pStyle w:val="ListParagraph"/>
              <w:numPr>
                <w:ilvl w:val="0"/>
                <w:numId w:val="16"/>
              </w:numPr>
              <w:contextualSpacing w:val="0"/>
              <w:rPr>
                <w:rFonts w:cs="Arial"/>
                <w:bCs/>
                <w:sz w:val="20"/>
              </w:rPr>
            </w:pPr>
            <w:r w:rsidRPr="00923576">
              <w:rPr>
                <w:rFonts w:cs="Arial"/>
                <w:bCs/>
                <w:sz w:val="20"/>
              </w:rPr>
              <w:t>Those with a sexual partner who is an injector.</w:t>
            </w:r>
          </w:p>
          <w:p w14:paraId="6CCB0896" w14:textId="77777777" w:rsidR="00886CA9" w:rsidRPr="00923576" w:rsidRDefault="00886CA9" w:rsidP="00886CA9">
            <w:pPr>
              <w:pStyle w:val="ListParagraph"/>
              <w:numPr>
                <w:ilvl w:val="0"/>
                <w:numId w:val="16"/>
              </w:numPr>
              <w:contextualSpacing w:val="0"/>
              <w:rPr>
                <w:rFonts w:cs="Arial"/>
                <w:bCs/>
                <w:sz w:val="20"/>
              </w:rPr>
            </w:pPr>
            <w:r w:rsidRPr="00923576">
              <w:rPr>
                <w:rFonts w:cs="Arial"/>
                <w:bCs/>
                <w:sz w:val="20"/>
              </w:rPr>
              <w:t>Injectors who have to travel to other areas to receive clean injecting equipment.</w:t>
            </w:r>
          </w:p>
          <w:p w14:paraId="4415670A" w14:textId="77777777" w:rsidR="00886CA9" w:rsidRPr="00A43A27" w:rsidRDefault="00886CA9" w:rsidP="00886CA9">
            <w:pPr>
              <w:contextualSpacing/>
              <w:rPr>
                <w:rFonts w:cs="Arial"/>
                <w:b/>
                <w:bCs/>
                <w:color w:val="009900"/>
                <w:sz w:val="20"/>
              </w:rPr>
            </w:pPr>
          </w:p>
          <w:p w14:paraId="041ED0EA" w14:textId="77777777" w:rsidR="00886CA9" w:rsidRPr="00DD4963" w:rsidRDefault="00886CA9" w:rsidP="00886CA9">
            <w:pPr>
              <w:tabs>
                <w:tab w:val="left" w:pos="1524"/>
              </w:tabs>
              <w:rPr>
                <w:rFonts w:cs="Arial"/>
                <w:sz w:val="20"/>
              </w:rPr>
            </w:pPr>
            <w:r w:rsidRPr="00DD4963">
              <w:rPr>
                <w:rFonts w:cs="Arial"/>
                <w:sz w:val="20"/>
              </w:rPr>
              <w:lastRenderedPageBreak/>
              <w:t>The purpose of a needle and syringe programme is to ensure that injecting drug users have clean equipment, rather than sharing with others and reusing equipment. Providing clean and safe equipment is not only in the interests of the injecting drug user, but it also benefits wider society by reducing the prevalence of blood borne viruses.</w:t>
            </w:r>
          </w:p>
          <w:p w14:paraId="2D41522A" w14:textId="77777777" w:rsidR="00886CA9" w:rsidRDefault="00886CA9" w:rsidP="00886CA9">
            <w:pPr>
              <w:tabs>
                <w:tab w:val="left" w:pos="1524"/>
              </w:tabs>
              <w:rPr>
                <w:rFonts w:cs="Arial"/>
                <w:sz w:val="20"/>
              </w:rPr>
            </w:pPr>
          </w:p>
          <w:p w14:paraId="3DF9CEBA" w14:textId="77777777" w:rsidR="00886CA9" w:rsidRDefault="00886CA9" w:rsidP="00886CA9">
            <w:pPr>
              <w:tabs>
                <w:tab w:val="left" w:pos="1524"/>
              </w:tabs>
              <w:rPr>
                <w:rFonts w:cs="Arial"/>
                <w:sz w:val="20"/>
              </w:rPr>
            </w:pPr>
            <w:r w:rsidRPr="00DD4963">
              <w:rPr>
                <w:rFonts w:cs="Arial"/>
                <w:sz w:val="20"/>
              </w:rPr>
              <w:t xml:space="preserve">The clients engaging in a needle and syringe programme are doing so because they understand the risk associated with injecting drugs. Attending a pharmacy on a regular basis can be a real effort for some clients and therefore they need to be treated with respect and in the same manner any other patient in the pharmacy would be. </w:t>
            </w:r>
          </w:p>
          <w:p w14:paraId="2EC37DA4" w14:textId="77777777" w:rsidR="00FB00E8" w:rsidRPr="00DD4963" w:rsidRDefault="00FB00E8" w:rsidP="00886CA9">
            <w:pPr>
              <w:tabs>
                <w:tab w:val="left" w:pos="1524"/>
              </w:tabs>
              <w:rPr>
                <w:rFonts w:cs="Arial"/>
                <w:sz w:val="20"/>
              </w:rPr>
            </w:pPr>
          </w:p>
          <w:p w14:paraId="337C9BA0" w14:textId="77777777" w:rsidR="00886CA9" w:rsidRPr="00FA34B0" w:rsidRDefault="00886CA9" w:rsidP="00886CA9">
            <w:pPr>
              <w:rPr>
                <w:rFonts w:cs="Arial"/>
                <w:sz w:val="20"/>
              </w:rPr>
            </w:pPr>
            <w:r w:rsidRPr="006969ED">
              <w:rPr>
                <w:rFonts w:cs="Arial"/>
                <w:b/>
                <w:bCs/>
                <w:sz w:val="20"/>
              </w:rPr>
              <w:t>3.</w:t>
            </w:r>
            <w:r w:rsidRPr="00AF756D">
              <w:rPr>
                <w:rFonts w:cs="Arial"/>
                <w:b/>
                <w:bCs/>
                <w:sz w:val="20"/>
              </w:rPr>
              <w:t>5 Interdependencies with other services</w:t>
            </w:r>
          </w:p>
          <w:p w14:paraId="4E6B0BBC" w14:textId="77777777" w:rsidR="00886CA9" w:rsidRPr="00DD4963" w:rsidRDefault="00886CA9" w:rsidP="00886CA9">
            <w:pPr>
              <w:rPr>
                <w:rFonts w:cs="Arial"/>
                <w:sz w:val="20"/>
              </w:rPr>
            </w:pPr>
            <w:r w:rsidRPr="00DD4963">
              <w:rPr>
                <w:rFonts w:cs="Arial"/>
                <w:sz w:val="20"/>
              </w:rPr>
              <w:t>This service will complement those offered by Community Substance Misuse Services and will run along the lines of National Guidance based on the original advice issued by the NHS Management Executive in July 1992, reference EL 92 49.</w:t>
            </w:r>
          </w:p>
          <w:p w14:paraId="7BAE177D" w14:textId="77777777" w:rsidR="00886CA9" w:rsidRPr="00DD4963" w:rsidRDefault="00886CA9" w:rsidP="00886CA9">
            <w:pPr>
              <w:rPr>
                <w:rFonts w:cs="Arial"/>
                <w:sz w:val="20"/>
              </w:rPr>
            </w:pPr>
          </w:p>
          <w:p w14:paraId="60C821B3" w14:textId="1EB6BC9D" w:rsidR="00886CA9" w:rsidRDefault="00886CA9" w:rsidP="00886CA9">
            <w:pPr>
              <w:rPr>
                <w:rFonts w:cs="Arial"/>
                <w:sz w:val="20"/>
              </w:rPr>
            </w:pPr>
            <w:r w:rsidRPr="00DD4963">
              <w:rPr>
                <w:rFonts w:cs="Arial"/>
                <w:sz w:val="20"/>
              </w:rPr>
              <w:t>Where the user is not accessing any other form of treatment staff will be given guidance around referral and advice for clients, either wishing to access some drug treatment, or wanting advice for an injection site wound.</w:t>
            </w:r>
          </w:p>
          <w:p w14:paraId="78C1C3A3" w14:textId="77777777" w:rsidR="00886CA9" w:rsidRPr="00FA34B0" w:rsidRDefault="00886CA9" w:rsidP="00886CA9">
            <w:pPr>
              <w:rPr>
                <w:rFonts w:cs="Arial"/>
                <w:sz w:val="20"/>
              </w:rPr>
            </w:pPr>
          </w:p>
          <w:p w14:paraId="3C7B4ED5" w14:textId="77777777" w:rsidR="00886CA9" w:rsidRPr="00AF756D" w:rsidRDefault="00886CA9" w:rsidP="00886CA9">
            <w:pPr>
              <w:rPr>
                <w:rFonts w:cs="Arial"/>
                <w:b/>
                <w:bCs/>
                <w:sz w:val="20"/>
              </w:rPr>
            </w:pPr>
            <w:r w:rsidRPr="00AF756D">
              <w:rPr>
                <w:rFonts w:cs="Arial"/>
                <w:b/>
                <w:bCs/>
                <w:sz w:val="20"/>
              </w:rPr>
              <w:t>3.6 Any activity planning assumptions</w:t>
            </w:r>
          </w:p>
          <w:p w14:paraId="618C1CB7" w14:textId="77777777" w:rsidR="00886CA9" w:rsidRPr="00DD4963" w:rsidRDefault="00886CA9" w:rsidP="00886CA9">
            <w:pPr>
              <w:rPr>
                <w:rFonts w:eastAsia="MS ??" w:cs="Arial"/>
                <w:bCs/>
                <w:sz w:val="20"/>
              </w:rPr>
            </w:pPr>
            <w:r w:rsidRPr="00DD4963">
              <w:rPr>
                <w:rFonts w:eastAsia="MS ??" w:cs="Arial"/>
                <w:bCs/>
                <w:sz w:val="20"/>
              </w:rPr>
              <w:t>The contracted pharmacy (herein known as the service provider) will have in place robust systems for the identification, mitigation and management of clinical and non-clinical risk.</w:t>
            </w:r>
          </w:p>
          <w:p w14:paraId="5736826E" w14:textId="77777777" w:rsidR="00886CA9" w:rsidRPr="00DD4963" w:rsidRDefault="00886CA9" w:rsidP="00886CA9">
            <w:pPr>
              <w:rPr>
                <w:rFonts w:eastAsia="MS ??" w:cs="Arial"/>
                <w:bCs/>
                <w:sz w:val="20"/>
              </w:rPr>
            </w:pPr>
          </w:p>
          <w:p w14:paraId="613689A7" w14:textId="77777777" w:rsidR="00886CA9" w:rsidRPr="00DD4963" w:rsidRDefault="00886CA9" w:rsidP="00886CA9">
            <w:pPr>
              <w:tabs>
                <w:tab w:val="left" w:pos="1524"/>
              </w:tabs>
              <w:rPr>
                <w:rFonts w:cs="Arial"/>
                <w:sz w:val="20"/>
              </w:rPr>
            </w:pPr>
            <w:r w:rsidRPr="00DD4963">
              <w:rPr>
                <w:rFonts w:cs="Arial"/>
                <w:sz w:val="20"/>
              </w:rPr>
              <w:t>The service provider will offer a user friendly, non-judgemental, client centred and confidential service.</w:t>
            </w:r>
          </w:p>
          <w:p w14:paraId="0A714422" w14:textId="77777777" w:rsidR="00886CA9" w:rsidRPr="006969ED" w:rsidRDefault="00886CA9" w:rsidP="00886CA9">
            <w:pPr>
              <w:rPr>
                <w:rFonts w:cs="Arial"/>
                <w:b/>
                <w:bCs/>
                <w:sz w:val="20"/>
              </w:rPr>
            </w:pPr>
          </w:p>
        </w:tc>
      </w:tr>
      <w:tr w:rsidR="00886CA9" w:rsidRPr="00FA34B0" w14:paraId="2EBDB2F6" w14:textId="77777777" w:rsidTr="00886CA9">
        <w:tc>
          <w:tcPr>
            <w:tcW w:w="9016" w:type="dxa"/>
            <w:shd w:val="clear" w:color="auto" w:fill="BFBFBF" w:themeFill="background1" w:themeFillShade="BF"/>
          </w:tcPr>
          <w:p w14:paraId="65349ED1" w14:textId="76D70FBE" w:rsidR="00886CA9" w:rsidRPr="00FA34B0" w:rsidRDefault="00886CA9" w:rsidP="00886CA9">
            <w:pPr>
              <w:rPr>
                <w:rFonts w:cs="Arial"/>
                <w:sz w:val="20"/>
              </w:rPr>
            </w:pPr>
            <w:r>
              <w:rPr>
                <w:rFonts w:cs="Arial"/>
                <w:b/>
                <w:bCs/>
                <w:sz w:val="20"/>
              </w:rPr>
              <w:lastRenderedPageBreak/>
              <w:t xml:space="preserve">4. </w:t>
            </w:r>
            <w:r w:rsidR="00FB00E8">
              <w:rPr>
                <w:rFonts w:cs="Arial"/>
                <w:b/>
                <w:bCs/>
                <w:sz w:val="20"/>
              </w:rPr>
              <w:t>The Service</w:t>
            </w:r>
          </w:p>
        </w:tc>
      </w:tr>
      <w:tr w:rsidR="00552A88" w:rsidRPr="00FA34B0" w14:paraId="58C768FE" w14:textId="77777777" w:rsidTr="00552A88">
        <w:tc>
          <w:tcPr>
            <w:tcW w:w="9016" w:type="dxa"/>
            <w:shd w:val="clear" w:color="auto" w:fill="auto"/>
          </w:tcPr>
          <w:p w14:paraId="44F5F636" w14:textId="3383E555" w:rsidR="00904857" w:rsidRPr="00904857" w:rsidRDefault="00FB00E8" w:rsidP="00904857">
            <w:pPr>
              <w:rPr>
                <w:rFonts w:cs="Arial"/>
                <w:b/>
                <w:bCs/>
                <w:sz w:val="20"/>
              </w:rPr>
            </w:pPr>
            <w:r>
              <w:rPr>
                <w:rFonts w:cs="Arial"/>
                <w:b/>
                <w:bCs/>
                <w:sz w:val="20"/>
              </w:rPr>
              <w:t>4.1 S</w:t>
            </w:r>
            <w:r w:rsidR="00904857" w:rsidRPr="00904857">
              <w:rPr>
                <w:rFonts w:cs="Arial"/>
                <w:b/>
                <w:bCs/>
                <w:sz w:val="20"/>
              </w:rPr>
              <w:t>ervice Description</w:t>
            </w:r>
            <w:r>
              <w:rPr>
                <w:rFonts w:cs="Arial"/>
                <w:b/>
                <w:bCs/>
                <w:sz w:val="20"/>
              </w:rPr>
              <w:t xml:space="preserve"> </w:t>
            </w:r>
          </w:p>
          <w:p w14:paraId="2AF33DB3" w14:textId="77777777" w:rsidR="00904857" w:rsidRPr="00904857" w:rsidRDefault="00904857" w:rsidP="00904857">
            <w:pPr>
              <w:rPr>
                <w:rFonts w:cs="Arial"/>
                <w:sz w:val="20"/>
              </w:rPr>
            </w:pPr>
            <w:r w:rsidRPr="00904857">
              <w:rPr>
                <w:rFonts w:cs="Arial"/>
                <w:sz w:val="20"/>
              </w:rPr>
              <w:t>The service provider will provide access to sterile needles and syringes, and sharps containers for return of used equipment.</w:t>
            </w:r>
          </w:p>
          <w:p w14:paraId="5092D74A" w14:textId="77777777" w:rsidR="00904857" w:rsidRPr="00904857" w:rsidRDefault="00904857" w:rsidP="00904857">
            <w:pPr>
              <w:rPr>
                <w:rFonts w:cs="Arial"/>
                <w:sz w:val="20"/>
              </w:rPr>
            </w:pPr>
          </w:p>
          <w:p w14:paraId="2C5A14DD" w14:textId="77777777" w:rsidR="00904857" w:rsidRPr="00904857" w:rsidRDefault="00904857" w:rsidP="00904857">
            <w:pPr>
              <w:rPr>
                <w:rFonts w:cs="Arial"/>
                <w:sz w:val="20"/>
              </w:rPr>
            </w:pPr>
            <w:r w:rsidRPr="00904857">
              <w:rPr>
                <w:rFonts w:cs="Arial"/>
                <w:sz w:val="20"/>
              </w:rPr>
              <w:t>Used equipment is normally returned by the service user for safe disposal.</w:t>
            </w:r>
          </w:p>
          <w:p w14:paraId="16DF3A1B" w14:textId="77777777" w:rsidR="00904857" w:rsidRPr="00904857" w:rsidRDefault="00904857" w:rsidP="00904857">
            <w:pPr>
              <w:rPr>
                <w:rFonts w:cs="Arial"/>
                <w:sz w:val="20"/>
              </w:rPr>
            </w:pPr>
          </w:p>
          <w:p w14:paraId="0CC4CCCB" w14:textId="77777777" w:rsidR="00904857" w:rsidRPr="00904857" w:rsidRDefault="00904857" w:rsidP="00904857">
            <w:pPr>
              <w:rPr>
                <w:rFonts w:cs="Arial"/>
                <w:sz w:val="20"/>
              </w:rPr>
            </w:pPr>
            <w:r w:rsidRPr="00904857">
              <w:rPr>
                <w:rFonts w:cs="Arial"/>
                <w:sz w:val="20"/>
              </w:rPr>
              <w:t>The service user will be provided with appropriate health promotion materials.</w:t>
            </w:r>
          </w:p>
          <w:p w14:paraId="74F136F3" w14:textId="77777777" w:rsidR="00904857" w:rsidRPr="00904857" w:rsidRDefault="00904857" w:rsidP="00904857">
            <w:pPr>
              <w:rPr>
                <w:rFonts w:cs="Arial"/>
                <w:sz w:val="20"/>
              </w:rPr>
            </w:pPr>
          </w:p>
          <w:p w14:paraId="64D5F2C0" w14:textId="77777777" w:rsidR="00904857" w:rsidRPr="00904857" w:rsidRDefault="00904857" w:rsidP="00904857">
            <w:pPr>
              <w:rPr>
                <w:rFonts w:cs="Arial"/>
                <w:sz w:val="20"/>
              </w:rPr>
            </w:pPr>
            <w:r w:rsidRPr="00904857">
              <w:rPr>
                <w:rFonts w:cs="Arial"/>
                <w:sz w:val="20"/>
              </w:rPr>
              <w:t>The service provider will provide support and advice to the user, including referral to other health and social care professionals and specialist drug and alcohol treatment services where appropriate.</w:t>
            </w:r>
          </w:p>
          <w:p w14:paraId="7ECE8DEE" w14:textId="77777777" w:rsidR="00904857" w:rsidRPr="00904857" w:rsidRDefault="00904857" w:rsidP="00904857">
            <w:pPr>
              <w:rPr>
                <w:rFonts w:cs="Arial"/>
                <w:sz w:val="20"/>
              </w:rPr>
            </w:pPr>
          </w:p>
          <w:p w14:paraId="15D39F3C" w14:textId="77777777" w:rsidR="00904857" w:rsidRDefault="00904857" w:rsidP="00904857">
            <w:pPr>
              <w:rPr>
                <w:rFonts w:cs="Arial"/>
                <w:sz w:val="20"/>
              </w:rPr>
            </w:pPr>
            <w:r w:rsidRPr="00904857">
              <w:rPr>
                <w:rFonts w:cs="Arial"/>
                <w:sz w:val="20"/>
              </w:rPr>
              <w:t>The service provider will promote safe practice to the user, including advice on sexual health and STIs, HIV and Hepatitis C transmission and Hepatitis B immunisation.</w:t>
            </w:r>
          </w:p>
          <w:p w14:paraId="2E026DFD" w14:textId="77777777" w:rsidR="005C7C39" w:rsidRDefault="005C7C39" w:rsidP="00904857">
            <w:pPr>
              <w:rPr>
                <w:rFonts w:cs="Arial"/>
                <w:sz w:val="20"/>
              </w:rPr>
            </w:pPr>
          </w:p>
          <w:p w14:paraId="5049BCB5" w14:textId="50FDD87F" w:rsidR="005C7C39" w:rsidRPr="005C7C39" w:rsidRDefault="005C7C39" w:rsidP="005C7C39">
            <w:pPr>
              <w:rPr>
                <w:rFonts w:cs="Arial"/>
                <w:b/>
                <w:bCs/>
                <w:sz w:val="20"/>
              </w:rPr>
            </w:pPr>
            <w:r w:rsidRPr="005C7C39">
              <w:rPr>
                <w:rFonts w:cs="Arial"/>
                <w:b/>
                <w:bCs/>
                <w:sz w:val="20"/>
              </w:rPr>
              <w:t>4.</w:t>
            </w:r>
            <w:r w:rsidR="00FB00E8">
              <w:rPr>
                <w:rFonts w:cs="Arial"/>
                <w:b/>
                <w:bCs/>
                <w:sz w:val="20"/>
              </w:rPr>
              <w:t xml:space="preserve">2 </w:t>
            </w:r>
            <w:r w:rsidRPr="005C7C39">
              <w:rPr>
                <w:rFonts w:cs="Arial"/>
                <w:b/>
                <w:bCs/>
                <w:sz w:val="20"/>
              </w:rPr>
              <w:t>Service pathway</w:t>
            </w:r>
          </w:p>
          <w:p w14:paraId="37D94A17" w14:textId="77777777" w:rsidR="005C7C39" w:rsidRPr="005C7C39" w:rsidRDefault="005C7C39" w:rsidP="005C7C39">
            <w:pPr>
              <w:rPr>
                <w:rFonts w:cs="Arial"/>
                <w:b/>
                <w:bCs/>
                <w:sz w:val="20"/>
              </w:rPr>
            </w:pPr>
          </w:p>
          <w:p w14:paraId="25FC2222" w14:textId="189D3B1A" w:rsidR="005C7C39" w:rsidRPr="005C7C39" w:rsidRDefault="005C7C39" w:rsidP="005C7C39">
            <w:pPr>
              <w:rPr>
                <w:rFonts w:cs="Arial"/>
                <w:sz w:val="20"/>
              </w:rPr>
            </w:pPr>
            <w:r w:rsidRPr="005C7C39">
              <w:rPr>
                <w:rFonts w:cs="Arial"/>
                <w:sz w:val="20"/>
              </w:rPr>
              <w:t xml:space="preserve">New Clients – When a ‘new’ client comes into the pharmacy for equipment, </w:t>
            </w:r>
            <w:r w:rsidR="00884223">
              <w:rPr>
                <w:rFonts w:cs="Arial"/>
                <w:sz w:val="20"/>
              </w:rPr>
              <w:t xml:space="preserve">a trained member of the pharmacy team </w:t>
            </w:r>
            <w:r w:rsidRPr="005C7C39">
              <w:rPr>
                <w:rFonts w:cs="Arial"/>
                <w:sz w:val="20"/>
              </w:rPr>
              <w:t xml:space="preserve">should: </w:t>
            </w:r>
          </w:p>
          <w:p w14:paraId="54B63AA8" w14:textId="77777777" w:rsidR="005C7C39" w:rsidRPr="005C7C39" w:rsidRDefault="005C7C39" w:rsidP="005C7C39">
            <w:pPr>
              <w:rPr>
                <w:rFonts w:cs="Arial"/>
                <w:sz w:val="20"/>
              </w:rPr>
            </w:pPr>
          </w:p>
          <w:p w14:paraId="6DF523BB" w14:textId="77777777" w:rsidR="005C7C39" w:rsidRPr="005C7C39" w:rsidRDefault="005C7C39" w:rsidP="005C7C39">
            <w:pPr>
              <w:rPr>
                <w:rFonts w:cs="Arial"/>
                <w:sz w:val="20"/>
              </w:rPr>
            </w:pPr>
            <w:r w:rsidRPr="005C7C39">
              <w:rPr>
                <w:rFonts w:cs="Arial"/>
                <w:sz w:val="20"/>
              </w:rPr>
              <w:t xml:space="preserve">Show the client to a quiet and discreet area where they can talk without being overheard. </w:t>
            </w:r>
          </w:p>
          <w:p w14:paraId="7068C1EE" w14:textId="77777777" w:rsidR="005C7C39" w:rsidRPr="005C7C39" w:rsidRDefault="005C7C39" w:rsidP="005C7C39">
            <w:pPr>
              <w:rPr>
                <w:rFonts w:cs="Arial"/>
                <w:sz w:val="20"/>
              </w:rPr>
            </w:pPr>
          </w:p>
          <w:p w14:paraId="7DE4B12E" w14:textId="77777777" w:rsidR="005C7C39" w:rsidRPr="005C7C39" w:rsidRDefault="005C7C39" w:rsidP="005C7C39">
            <w:pPr>
              <w:rPr>
                <w:rFonts w:cs="Arial"/>
                <w:sz w:val="20"/>
              </w:rPr>
            </w:pPr>
            <w:r w:rsidRPr="005C7C39">
              <w:rPr>
                <w:rFonts w:cs="Arial"/>
                <w:sz w:val="20"/>
              </w:rPr>
              <w:t xml:space="preserve">Introduce themselves and explain which members of staff are trained and involved in the scheme. </w:t>
            </w:r>
          </w:p>
          <w:p w14:paraId="496E3D4D" w14:textId="77777777" w:rsidR="005C7C39" w:rsidRPr="005C7C39" w:rsidRDefault="005C7C39" w:rsidP="005C7C39">
            <w:pPr>
              <w:rPr>
                <w:rFonts w:cs="Arial"/>
                <w:sz w:val="20"/>
              </w:rPr>
            </w:pPr>
          </w:p>
          <w:p w14:paraId="25329C19" w14:textId="77777777" w:rsidR="005C7C39" w:rsidRPr="005C7C39" w:rsidRDefault="005C7C39" w:rsidP="005C7C39">
            <w:pPr>
              <w:rPr>
                <w:rFonts w:cs="Arial"/>
                <w:sz w:val="20"/>
              </w:rPr>
            </w:pPr>
            <w:r w:rsidRPr="005C7C39">
              <w:rPr>
                <w:rFonts w:cs="Arial"/>
                <w:sz w:val="20"/>
              </w:rPr>
              <w:t>Go through any health promotion leaflets with the client, explaining the service on offer, and other services that they can access through the pharmacy (including referrals into other drug treatment services).</w:t>
            </w:r>
          </w:p>
          <w:p w14:paraId="219B3EDB" w14:textId="77777777" w:rsidR="005C7C39" w:rsidRPr="005C7C39" w:rsidRDefault="005C7C39" w:rsidP="005C7C39">
            <w:pPr>
              <w:rPr>
                <w:rFonts w:cs="Arial"/>
                <w:sz w:val="20"/>
              </w:rPr>
            </w:pPr>
          </w:p>
          <w:p w14:paraId="5BC70DE1" w14:textId="77777777" w:rsidR="005C7C39" w:rsidRPr="005C7C39" w:rsidRDefault="005C7C39" w:rsidP="005C7C39">
            <w:pPr>
              <w:rPr>
                <w:rFonts w:cs="Arial"/>
                <w:sz w:val="20"/>
              </w:rPr>
            </w:pPr>
            <w:r w:rsidRPr="005C7C39">
              <w:rPr>
                <w:rFonts w:cs="Arial"/>
                <w:sz w:val="20"/>
              </w:rPr>
              <w:t xml:space="preserve">Encourage the clients to disclose their Drug of Choice – data provides information on patterns of drug use and enables commissioning of appropriate services. </w:t>
            </w:r>
          </w:p>
          <w:p w14:paraId="7E6C6506" w14:textId="77777777" w:rsidR="005C7C39" w:rsidRPr="005C7C39" w:rsidRDefault="005C7C39" w:rsidP="005C7C39">
            <w:pPr>
              <w:rPr>
                <w:rFonts w:cs="Arial"/>
                <w:sz w:val="20"/>
              </w:rPr>
            </w:pPr>
          </w:p>
          <w:p w14:paraId="1F6C93CA" w14:textId="77777777" w:rsidR="005C7C39" w:rsidRPr="005C7C39" w:rsidRDefault="005C7C39" w:rsidP="005C7C39">
            <w:pPr>
              <w:rPr>
                <w:rFonts w:cs="Arial"/>
                <w:sz w:val="20"/>
              </w:rPr>
            </w:pPr>
            <w:r w:rsidRPr="005C7C39">
              <w:rPr>
                <w:rFonts w:cs="Arial"/>
                <w:sz w:val="20"/>
              </w:rPr>
              <w:t>Explain that if the client has any health concerns they wish to talk to the pharmacists about, they are more than welcome to do so.</w:t>
            </w:r>
          </w:p>
          <w:p w14:paraId="236E628F" w14:textId="77777777" w:rsidR="005C7C39" w:rsidRPr="005C7C39" w:rsidRDefault="005C7C39" w:rsidP="005C7C39">
            <w:pPr>
              <w:rPr>
                <w:rFonts w:cs="Arial"/>
                <w:sz w:val="20"/>
              </w:rPr>
            </w:pPr>
          </w:p>
          <w:p w14:paraId="5CC7C7F0" w14:textId="40F671AB" w:rsidR="005C7C39" w:rsidRPr="005C7C39" w:rsidRDefault="005C7C39" w:rsidP="005C7C39">
            <w:pPr>
              <w:rPr>
                <w:rFonts w:cs="Arial"/>
                <w:sz w:val="20"/>
              </w:rPr>
            </w:pPr>
            <w:r w:rsidRPr="005C7C39">
              <w:rPr>
                <w:rFonts w:cs="Arial"/>
                <w:sz w:val="20"/>
              </w:rPr>
              <w:lastRenderedPageBreak/>
              <w:t xml:space="preserve">Explain that the pharmacy can offer </w:t>
            </w:r>
            <w:r w:rsidR="00943817">
              <w:rPr>
                <w:rFonts w:cs="Arial"/>
                <w:sz w:val="20"/>
              </w:rPr>
              <w:t>as a guide, 30 needles per</w:t>
            </w:r>
            <w:r w:rsidRPr="005C7C39">
              <w:rPr>
                <w:rFonts w:cs="Arial"/>
                <w:sz w:val="20"/>
              </w:rPr>
              <w:t xml:space="preserve"> transaction and that they </w:t>
            </w:r>
            <w:r w:rsidR="00EC287D">
              <w:rPr>
                <w:rFonts w:cs="Arial"/>
                <w:sz w:val="20"/>
              </w:rPr>
              <w:t>should</w:t>
            </w:r>
            <w:r w:rsidR="00D63946">
              <w:rPr>
                <w:rFonts w:cs="Arial"/>
                <w:sz w:val="20"/>
              </w:rPr>
              <w:t xml:space="preserve"> </w:t>
            </w:r>
            <w:r w:rsidRPr="005C7C39">
              <w:rPr>
                <w:rFonts w:cs="Arial"/>
                <w:sz w:val="20"/>
              </w:rPr>
              <w:t xml:space="preserve">return their used equipment in the bin supplied to your pharmacy for disposal. The service user should be asked to disclose any issue they may have with returning the used equipment at any time. Returns should be made in sharps bins provided. </w:t>
            </w:r>
          </w:p>
          <w:p w14:paraId="774E20AB" w14:textId="77777777" w:rsidR="005C7C39" w:rsidRPr="005C7C39" w:rsidRDefault="005C7C39" w:rsidP="005C7C39">
            <w:pPr>
              <w:rPr>
                <w:rFonts w:cs="Arial"/>
                <w:sz w:val="20"/>
              </w:rPr>
            </w:pPr>
          </w:p>
          <w:p w14:paraId="0B484233" w14:textId="5DBB9FE5" w:rsidR="005C7C39" w:rsidRPr="005C7C39" w:rsidRDefault="005C7C39" w:rsidP="005C7C39">
            <w:pPr>
              <w:rPr>
                <w:rFonts w:cs="Arial"/>
                <w:sz w:val="20"/>
              </w:rPr>
            </w:pPr>
            <w:r w:rsidRPr="005C7C39">
              <w:rPr>
                <w:rFonts w:cs="Arial"/>
                <w:sz w:val="20"/>
              </w:rPr>
              <w:t xml:space="preserve">Explain that the pharmacy can make a direct referral into treatment agencies and, if they should want this service, to ask </w:t>
            </w:r>
            <w:r w:rsidR="003B5EFD">
              <w:rPr>
                <w:rFonts w:cs="Arial"/>
                <w:sz w:val="20"/>
              </w:rPr>
              <w:t>a member of the pharmacy team</w:t>
            </w:r>
            <w:r w:rsidRPr="005C7C39">
              <w:rPr>
                <w:rFonts w:cs="Arial"/>
                <w:sz w:val="20"/>
              </w:rPr>
              <w:t xml:space="preserve"> for ‘screening and referral’. </w:t>
            </w:r>
          </w:p>
          <w:p w14:paraId="6E205E97" w14:textId="77777777" w:rsidR="005C7C39" w:rsidRPr="005C7C39" w:rsidRDefault="005C7C39" w:rsidP="005C7C39">
            <w:pPr>
              <w:rPr>
                <w:rFonts w:cs="Arial"/>
                <w:sz w:val="20"/>
              </w:rPr>
            </w:pPr>
          </w:p>
          <w:p w14:paraId="6AD9AC4E" w14:textId="055CDC29" w:rsidR="005C7C39" w:rsidRPr="005C7C39" w:rsidRDefault="005C7C39" w:rsidP="005C7C39">
            <w:pPr>
              <w:rPr>
                <w:rFonts w:cs="Arial"/>
                <w:sz w:val="20"/>
              </w:rPr>
            </w:pPr>
            <w:r w:rsidRPr="005C7C39">
              <w:rPr>
                <w:rFonts w:cs="Arial"/>
                <w:sz w:val="20"/>
              </w:rPr>
              <w:t xml:space="preserve">Advise the client if there are any times during the day which would make it difficult to do an exchange i.e. busy lunch times etc. At all other times staff will endeavour to give their full attention and quick service. </w:t>
            </w:r>
            <w:r w:rsidR="00FE335C" w:rsidRPr="00FE335C">
              <w:rPr>
                <w:rFonts w:cs="Arial"/>
                <w:sz w:val="20"/>
              </w:rPr>
              <w:t>Advise clients alternative providers of the service which can be obtained from your commissioner</w:t>
            </w:r>
            <w:r w:rsidR="00FE335C" w:rsidRPr="00FE335C">
              <w:rPr>
                <w:rStyle w:val="CommentReference"/>
              </w:rPr>
              <w:t>.</w:t>
            </w:r>
          </w:p>
          <w:p w14:paraId="3BB42A71" w14:textId="77777777" w:rsidR="005C7C39" w:rsidRPr="005C7C39" w:rsidRDefault="005C7C39" w:rsidP="005C7C39">
            <w:pPr>
              <w:rPr>
                <w:rFonts w:cs="Arial"/>
                <w:sz w:val="20"/>
              </w:rPr>
            </w:pPr>
          </w:p>
          <w:p w14:paraId="09CCFF81" w14:textId="77777777" w:rsidR="005C7C39" w:rsidRPr="005C7C39" w:rsidRDefault="005C7C39" w:rsidP="005C7C39">
            <w:pPr>
              <w:rPr>
                <w:rFonts w:cs="Arial"/>
                <w:sz w:val="20"/>
              </w:rPr>
            </w:pPr>
            <w:r w:rsidRPr="005C7C39">
              <w:rPr>
                <w:rFonts w:cs="Arial"/>
                <w:sz w:val="20"/>
              </w:rPr>
              <w:t>Set up a quiet and discreet area where needle exchange clients can go in the pharmacy.</w:t>
            </w:r>
          </w:p>
          <w:p w14:paraId="1872B229" w14:textId="77777777" w:rsidR="005C7C39" w:rsidRPr="005C7C39" w:rsidRDefault="005C7C39" w:rsidP="005C7C39">
            <w:pPr>
              <w:rPr>
                <w:rFonts w:cs="Arial"/>
                <w:sz w:val="20"/>
              </w:rPr>
            </w:pPr>
          </w:p>
          <w:p w14:paraId="03298E83" w14:textId="77777777" w:rsidR="005C7C39" w:rsidRPr="005C7C39" w:rsidRDefault="005C7C39" w:rsidP="005C7C39">
            <w:pPr>
              <w:rPr>
                <w:rFonts w:cs="Arial"/>
                <w:sz w:val="20"/>
              </w:rPr>
            </w:pPr>
            <w:r w:rsidRPr="005C7C39">
              <w:rPr>
                <w:rFonts w:cs="Arial"/>
                <w:sz w:val="20"/>
              </w:rPr>
              <w:t xml:space="preserve">If the client wishes to see the pharmacist, they should be directed to the consultation room or private area and the pharmacist should be informed immediately. </w:t>
            </w:r>
          </w:p>
          <w:p w14:paraId="6C4CF33B" w14:textId="77777777" w:rsidR="005C7C39" w:rsidRPr="005C7C39" w:rsidRDefault="005C7C39" w:rsidP="005C7C39">
            <w:pPr>
              <w:rPr>
                <w:rFonts w:cs="Arial"/>
                <w:sz w:val="20"/>
              </w:rPr>
            </w:pPr>
          </w:p>
          <w:p w14:paraId="5F1C0EC0" w14:textId="77777777" w:rsidR="005C7C39" w:rsidRPr="005C7C39" w:rsidRDefault="005C7C39" w:rsidP="005C7C39">
            <w:pPr>
              <w:rPr>
                <w:rFonts w:cs="Arial"/>
                <w:sz w:val="20"/>
              </w:rPr>
            </w:pPr>
            <w:r w:rsidRPr="005C7C39">
              <w:rPr>
                <w:rFonts w:cs="Arial"/>
                <w:sz w:val="20"/>
              </w:rPr>
              <w:t xml:space="preserve">Provide equipment in the bags supplied, taking care to respect the client’s right to privacy by being discreet. </w:t>
            </w:r>
          </w:p>
          <w:p w14:paraId="526ED74E" w14:textId="77777777" w:rsidR="005C7C39" w:rsidRPr="005C7C39" w:rsidRDefault="005C7C39" w:rsidP="005C7C39">
            <w:pPr>
              <w:rPr>
                <w:rFonts w:cs="Arial"/>
                <w:sz w:val="20"/>
              </w:rPr>
            </w:pPr>
          </w:p>
          <w:p w14:paraId="0146B956" w14:textId="02D51257" w:rsidR="005C7C39" w:rsidRPr="005C7C39" w:rsidRDefault="006227E4" w:rsidP="005C7C39">
            <w:pPr>
              <w:rPr>
                <w:rFonts w:cs="Arial"/>
                <w:sz w:val="20"/>
              </w:rPr>
            </w:pPr>
            <w:r>
              <w:rPr>
                <w:rFonts w:cs="Arial"/>
                <w:sz w:val="20"/>
              </w:rPr>
              <w:t>At</w:t>
            </w:r>
            <w:r w:rsidR="005C7C39" w:rsidRPr="005C7C39">
              <w:rPr>
                <w:rFonts w:cs="Arial"/>
                <w:sz w:val="20"/>
              </w:rPr>
              <w:t xml:space="preserve"> least one bin must be </w:t>
            </w:r>
            <w:r w:rsidR="00672F18">
              <w:rPr>
                <w:rFonts w:cs="Arial"/>
                <w:sz w:val="20"/>
              </w:rPr>
              <w:t>offered</w:t>
            </w:r>
            <w:r w:rsidR="005C7C39" w:rsidRPr="005C7C39">
              <w:rPr>
                <w:rFonts w:cs="Arial"/>
                <w:sz w:val="20"/>
              </w:rPr>
              <w:t xml:space="preserve"> with every transaction and </w:t>
            </w:r>
            <w:r w:rsidR="00E42002">
              <w:rPr>
                <w:rFonts w:cs="Arial"/>
                <w:sz w:val="20"/>
              </w:rPr>
              <w:t>as a guide</w:t>
            </w:r>
            <w:r w:rsidR="00247767">
              <w:rPr>
                <w:rFonts w:cs="Arial"/>
                <w:sz w:val="20"/>
              </w:rPr>
              <w:t xml:space="preserve">, </w:t>
            </w:r>
            <w:r w:rsidR="005C7C39" w:rsidRPr="005C7C39">
              <w:rPr>
                <w:rFonts w:cs="Arial"/>
                <w:sz w:val="20"/>
              </w:rPr>
              <w:t>30 needles</w:t>
            </w:r>
            <w:r w:rsidR="00247767">
              <w:rPr>
                <w:rFonts w:cs="Arial"/>
                <w:sz w:val="20"/>
              </w:rPr>
              <w:t xml:space="preserve"> </w:t>
            </w:r>
            <w:r w:rsidR="00A647BB">
              <w:rPr>
                <w:rFonts w:cs="Arial"/>
                <w:sz w:val="20"/>
              </w:rPr>
              <w:t>should</w:t>
            </w:r>
            <w:r w:rsidR="00247767">
              <w:rPr>
                <w:rFonts w:cs="Arial"/>
                <w:sz w:val="20"/>
              </w:rPr>
              <w:t xml:space="preserve"> be provided</w:t>
            </w:r>
            <w:r w:rsidR="005C7C39" w:rsidRPr="005C7C39">
              <w:rPr>
                <w:rFonts w:cs="Arial"/>
                <w:sz w:val="20"/>
              </w:rPr>
              <w:t xml:space="preserve"> per visit. Pharmac</w:t>
            </w:r>
            <w:r w:rsidR="005B57A0">
              <w:rPr>
                <w:rFonts w:cs="Arial"/>
                <w:sz w:val="20"/>
              </w:rPr>
              <w:t>y staff</w:t>
            </w:r>
            <w:r w:rsidR="00A4198C">
              <w:rPr>
                <w:rFonts w:cs="Arial"/>
                <w:sz w:val="20"/>
              </w:rPr>
              <w:t xml:space="preserve"> should </w:t>
            </w:r>
            <w:r w:rsidR="005C7C39" w:rsidRPr="005C7C39">
              <w:rPr>
                <w:rFonts w:cs="Arial"/>
                <w:sz w:val="20"/>
              </w:rPr>
              <w:t xml:space="preserve">use their discretion on increasing numbers of needles provided, taking into consideration; Bank Holidays or special circumstances for the client, and, client’s willingness to return the used works. </w:t>
            </w:r>
          </w:p>
          <w:p w14:paraId="1140BE3C" w14:textId="77777777" w:rsidR="005C7C39" w:rsidRPr="005C7C39" w:rsidRDefault="005C7C39" w:rsidP="005C7C39">
            <w:pPr>
              <w:rPr>
                <w:rFonts w:cs="Arial"/>
                <w:sz w:val="20"/>
              </w:rPr>
            </w:pPr>
          </w:p>
          <w:p w14:paraId="2831DEC2" w14:textId="77777777" w:rsidR="002D4B01" w:rsidRDefault="002D4B01" w:rsidP="002D4B01">
            <w:pPr>
              <w:rPr>
                <w:rFonts w:cs="Arial"/>
                <w:sz w:val="20"/>
              </w:rPr>
            </w:pPr>
            <w:r w:rsidRPr="005C7C39">
              <w:rPr>
                <w:rFonts w:cs="Arial"/>
                <w:sz w:val="20"/>
              </w:rPr>
              <w:t xml:space="preserve">The quantity of needle and syringes provided should NOT be subject to an arbitrary limit but instead should meet the client’s needs. </w:t>
            </w:r>
          </w:p>
          <w:p w14:paraId="1DAE12C4" w14:textId="77777777" w:rsidR="002D4B01" w:rsidRPr="005C7C39" w:rsidRDefault="002D4B01" w:rsidP="002D4B01">
            <w:pPr>
              <w:rPr>
                <w:rFonts w:cs="Arial"/>
                <w:sz w:val="20"/>
              </w:rPr>
            </w:pPr>
          </w:p>
          <w:p w14:paraId="7BCEBACB" w14:textId="5DF1E630" w:rsidR="005C7C39" w:rsidRPr="005C7C39" w:rsidRDefault="005C7C39" w:rsidP="005C7C39">
            <w:pPr>
              <w:rPr>
                <w:rFonts w:cs="Arial"/>
                <w:sz w:val="20"/>
              </w:rPr>
            </w:pPr>
            <w:r w:rsidRPr="005C7C39">
              <w:rPr>
                <w:rFonts w:cs="Arial"/>
                <w:sz w:val="20"/>
              </w:rPr>
              <w:t xml:space="preserve">When a client presents with used equipment, the client should be taken to the large yellow sharps container where they can deposit of their used equipment. </w:t>
            </w:r>
            <w:r w:rsidR="00167DAF">
              <w:rPr>
                <w:rFonts w:cs="Arial"/>
                <w:sz w:val="20"/>
              </w:rPr>
              <w:t xml:space="preserve">Pharmacy </w:t>
            </w:r>
            <w:r w:rsidR="00167DAF" w:rsidRPr="005C7C39">
              <w:rPr>
                <w:rFonts w:cs="Arial"/>
                <w:sz w:val="20"/>
              </w:rPr>
              <w:t xml:space="preserve">staff </w:t>
            </w:r>
            <w:r w:rsidRPr="005C7C39">
              <w:rPr>
                <w:rFonts w:cs="Arial"/>
                <w:sz w:val="20"/>
              </w:rPr>
              <w:t xml:space="preserve">must not touch the used equipment. </w:t>
            </w:r>
          </w:p>
          <w:p w14:paraId="44E0EF86" w14:textId="77777777" w:rsidR="005C7C39" w:rsidRPr="005C7C39" w:rsidRDefault="005C7C39" w:rsidP="005C7C39">
            <w:pPr>
              <w:rPr>
                <w:rFonts w:cs="Arial"/>
                <w:sz w:val="20"/>
              </w:rPr>
            </w:pPr>
          </w:p>
          <w:p w14:paraId="0451CDF6" w14:textId="1823170A" w:rsidR="005C7C39" w:rsidRPr="005C7C39" w:rsidRDefault="005C7C39" w:rsidP="005C7C39">
            <w:pPr>
              <w:rPr>
                <w:rFonts w:cs="Arial"/>
                <w:sz w:val="20"/>
              </w:rPr>
            </w:pPr>
            <w:r w:rsidRPr="005C7C39">
              <w:rPr>
                <w:rFonts w:cs="Arial"/>
                <w:sz w:val="20"/>
              </w:rPr>
              <w:t xml:space="preserve">If it is not possible to take the client to the sharps container then the sharps container should be retrieved from its storage place by </w:t>
            </w:r>
            <w:r w:rsidR="00167DAF">
              <w:rPr>
                <w:rFonts w:cs="Arial"/>
                <w:sz w:val="20"/>
              </w:rPr>
              <w:t xml:space="preserve">pharmacy </w:t>
            </w:r>
            <w:r w:rsidRPr="005C7C39">
              <w:rPr>
                <w:rFonts w:cs="Arial"/>
                <w:sz w:val="20"/>
              </w:rPr>
              <w:t xml:space="preserve">staff and taken to the client. The container should be carried by the handle and held away from the body. </w:t>
            </w:r>
          </w:p>
          <w:p w14:paraId="51570785" w14:textId="77777777" w:rsidR="005C7C39" w:rsidRPr="005C7C39" w:rsidRDefault="005C7C39" w:rsidP="005C7C39">
            <w:pPr>
              <w:rPr>
                <w:rFonts w:cs="Arial"/>
                <w:sz w:val="20"/>
              </w:rPr>
            </w:pPr>
          </w:p>
          <w:p w14:paraId="12C85927" w14:textId="77777777" w:rsidR="005C7C39" w:rsidRPr="005C7C39" w:rsidRDefault="005C7C39" w:rsidP="005C7C39">
            <w:pPr>
              <w:rPr>
                <w:rFonts w:cs="Arial"/>
                <w:sz w:val="20"/>
              </w:rPr>
            </w:pPr>
            <w:r w:rsidRPr="005C7C39">
              <w:rPr>
                <w:rFonts w:cs="Arial"/>
                <w:sz w:val="20"/>
              </w:rPr>
              <w:t xml:space="preserve">Where possible, used equipment should be encased in a personal sharps container.  </w:t>
            </w:r>
          </w:p>
          <w:p w14:paraId="2B10ECDC" w14:textId="77777777" w:rsidR="005C7C39" w:rsidRPr="005C7C39" w:rsidRDefault="005C7C39" w:rsidP="005C7C39">
            <w:pPr>
              <w:rPr>
                <w:rFonts w:cs="Arial"/>
                <w:sz w:val="20"/>
              </w:rPr>
            </w:pPr>
          </w:p>
          <w:p w14:paraId="435B7689" w14:textId="77777777" w:rsidR="005C7C39" w:rsidRPr="005C7C39" w:rsidRDefault="005C7C39" w:rsidP="005C7C39">
            <w:pPr>
              <w:rPr>
                <w:rFonts w:cs="Arial"/>
                <w:sz w:val="20"/>
              </w:rPr>
            </w:pPr>
            <w:r w:rsidRPr="005C7C39">
              <w:rPr>
                <w:rFonts w:cs="Arial"/>
                <w:sz w:val="20"/>
              </w:rPr>
              <w:t>There must be a ‘Chaperone’ sign on display in the consultation area. The chaperone policy applies to both the client and the staff.</w:t>
            </w:r>
          </w:p>
          <w:p w14:paraId="26DF2B9B" w14:textId="77777777" w:rsidR="005C7C39" w:rsidRPr="005C7C39" w:rsidRDefault="005C7C39" w:rsidP="005C7C39">
            <w:pPr>
              <w:rPr>
                <w:rFonts w:cs="Arial"/>
                <w:sz w:val="20"/>
              </w:rPr>
            </w:pPr>
          </w:p>
          <w:p w14:paraId="5A9897DF" w14:textId="77777777" w:rsidR="005C7C39" w:rsidRPr="005C7C39" w:rsidRDefault="005C7C39" w:rsidP="005C7C39">
            <w:pPr>
              <w:rPr>
                <w:rFonts w:cs="Arial"/>
                <w:sz w:val="20"/>
              </w:rPr>
            </w:pPr>
            <w:r w:rsidRPr="005C7C39">
              <w:rPr>
                <w:rFonts w:cs="Arial"/>
                <w:sz w:val="20"/>
              </w:rPr>
              <w:t>Should any member of the pharmacy team at any time feel unsafe in providing the service, the pharmacist should be consulted who can then support their member of staff.</w:t>
            </w:r>
          </w:p>
          <w:p w14:paraId="2B07398E" w14:textId="77777777" w:rsidR="005C7C39" w:rsidRPr="005C7C39" w:rsidRDefault="005C7C39" w:rsidP="005C7C39">
            <w:pPr>
              <w:rPr>
                <w:rFonts w:cs="Arial"/>
                <w:sz w:val="20"/>
              </w:rPr>
            </w:pPr>
          </w:p>
          <w:p w14:paraId="5675B983" w14:textId="72834A28" w:rsidR="005C7C39" w:rsidRDefault="005C7C39" w:rsidP="005C7C39">
            <w:pPr>
              <w:rPr>
                <w:rFonts w:cs="Arial"/>
                <w:sz w:val="20"/>
              </w:rPr>
            </w:pPr>
            <w:r w:rsidRPr="005C7C39">
              <w:rPr>
                <w:rFonts w:cs="Arial"/>
                <w:sz w:val="20"/>
              </w:rPr>
              <w:t xml:space="preserve">Hands should be washed after each return. </w:t>
            </w:r>
          </w:p>
          <w:p w14:paraId="4AF9B1FA" w14:textId="77777777" w:rsidR="00BC5D13" w:rsidRPr="005C7C39" w:rsidRDefault="00BC5D13" w:rsidP="005C7C39">
            <w:pPr>
              <w:rPr>
                <w:rFonts w:cs="Arial"/>
                <w:sz w:val="20"/>
              </w:rPr>
            </w:pPr>
          </w:p>
          <w:p w14:paraId="7D5AC0E9" w14:textId="77777777" w:rsidR="005C7C39" w:rsidRPr="005C7C39" w:rsidRDefault="005C7C39" w:rsidP="005C7C39">
            <w:pPr>
              <w:rPr>
                <w:rFonts w:cs="Arial"/>
                <w:sz w:val="20"/>
              </w:rPr>
            </w:pPr>
            <w:r w:rsidRPr="005C7C39">
              <w:rPr>
                <w:rFonts w:cs="Arial"/>
                <w:sz w:val="20"/>
              </w:rPr>
              <w:t xml:space="preserve">Should the client not return their used equipment to the pharmacy, they should NOT be turned away or limited with their supply. Instead, ask where their used equipment have been disposed of and encourage them to use the pharmacy for this purpose next time. </w:t>
            </w:r>
          </w:p>
          <w:p w14:paraId="1DA7A12F" w14:textId="77777777" w:rsidR="005C7C39" w:rsidRPr="005C7C39" w:rsidRDefault="005C7C39" w:rsidP="005C7C39">
            <w:pPr>
              <w:rPr>
                <w:rFonts w:cs="Arial"/>
                <w:sz w:val="20"/>
              </w:rPr>
            </w:pPr>
          </w:p>
          <w:p w14:paraId="42DF4956" w14:textId="77777777" w:rsidR="005C7C39" w:rsidRPr="005C7C39" w:rsidRDefault="005C7C39" w:rsidP="005C7C39">
            <w:pPr>
              <w:rPr>
                <w:rFonts w:cs="Arial"/>
                <w:b/>
                <w:bCs/>
                <w:sz w:val="20"/>
              </w:rPr>
            </w:pPr>
            <w:r w:rsidRPr="005C7C39">
              <w:rPr>
                <w:rFonts w:cs="Arial"/>
                <w:sz w:val="20"/>
              </w:rPr>
              <w:t>Ensure clients are provided with sharps bins and advice about how to dispose of needles and syringes safely.</w:t>
            </w:r>
          </w:p>
          <w:p w14:paraId="17E08377" w14:textId="77777777" w:rsidR="005C7C39" w:rsidRPr="005C7C39" w:rsidRDefault="005C7C39" w:rsidP="005C7C39">
            <w:pPr>
              <w:rPr>
                <w:rFonts w:cs="Arial"/>
                <w:b/>
                <w:bCs/>
                <w:sz w:val="20"/>
              </w:rPr>
            </w:pPr>
          </w:p>
          <w:p w14:paraId="1B2032AA" w14:textId="77E6CCB0" w:rsidR="005C7C39" w:rsidRPr="005C7C39" w:rsidRDefault="005C7C39" w:rsidP="005C7C39">
            <w:pPr>
              <w:rPr>
                <w:rFonts w:cs="Arial"/>
                <w:b/>
                <w:bCs/>
                <w:sz w:val="20"/>
              </w:rPr>
            </w:pPr>
            <w:r w:rsidRPr="005C7C39">
              <w:rPr>
                <w:rFonts w:cs="Arial"/>
                <w:b/>
                <w:bCs/>
                <w:sz w:val="20"/>
              </w:rPr>
              <w:t>4.3</w:t>
            </w:r>
            <w:r w:rsidR="00FB00E8">
              <w:rPr>
                <w:rFonts w:cs="Arial"/>
                <w:b/>
                <w:bCs/>
                <w:sz w:val="20"/>
              </w:rPr>
              <w:t xml:space="preserve"> </w:t>
            </w:r>
            <w:r w:rsidRPr="005C7C39">
              <w:rPr>
                <w:rFonts w:cs="Arial"/>
                <w:b/>
                <w:bCs/>
                <w:sz w:val="20"/>
              </w:rPr>
              <w:t>Quality Indicators</w:t>
            </w:r>
          </w:p>
          <w:p w14:paraId="3D4473B5" w14:textId="77777777" w:rsidR="005C7C39" w:rsidRPr="005C7C39" w:rsidRDefault="005C7C39" w:rsidP="005C7C39">
            <w:pPr>
              <w:rPr>
                <w:rFonts w:cs="Arial"/>
                <w:b/>
                <w:bCs/>
                <w:sz w:val="20"/>
              </w:rPr>
            </w:pPr>
          </w:p>
          <w:p w14:paraId="0617B954" w14:textId="77777777" w:rsidR="005C7C39" w:rsidRPr="00857E96" w:rsidRDefault="005C7C39" w:rsidP="00857E96">
            <w:pPr>
              <w:rPr>
                <w:rFonts w:cs="Arial"/>
                <w:sz w:val="20"/>
              </w:rPr>
            </w:pPr>
            <w:r w:rsidRPr="00857E96">
              <w:rPr>
                <w:rFonts w:cs="Arial"/>
                <w:sz w:val="20"/>
              </w:rPr>
              <w:t>The service provider must demonstrate a relevant quality assurance standard to Halton Borough Council (HBC) or will work towards achieving such a standard within an agreed timescale.</w:t>
            </w:r>
          </w:p>
          <w:p w14:paraId="572D856F" w14:textId="77777777" w:rsidR="005C7C39" w:rsidRPr="005C7C39" w:rsidRDefault="005C7C39" w:rsidP="005C7C39">
            <w:pPr>
              <w:rPr>
                <w:rFonts w:cs="Arial"/>
                <w:sz w:val="20"/>
              </w:rPr>
            </w:pPr>
          </w:p>
          <w:p w14:paraId="0864DCD4" w14:textId="194665DB" w:rsidR="005C7C39" w:rsidRPr="00857E96" w:rsidRDefault="005C7C39" w:rsidP="00857E96">
            <w:pPr>
              <w:rPr>
                <w:rFonts w:cs="Arial"/>
                <w:sz w:val="20"/>
              </w:rPr>
            </w:pPr>
            <w:r w:rsidRPr="00857E96">
              <w:rPr>
                <w:rFonts w:cs="Arial"/>
                <w:sz w:val="20"/>
              </w:rPr>
              <w:lastRenderedPageBreak/>
              <w:t>If requested the service provider must participate in audits of service provision or any locally agreed Council lead assessment of service user experience.</w:t>
            </w:r>
            <w:r w:rsidR="00046D3D">
              <w:rPr>
                <w:rFonts w:cs="Arial"/>
                <w:sz w:val="20"/>
              </w:rPr>
              <w:t xml:space="preserve"> </w:t>
            </w:r>
            <w:r w:rsidR="00046D3D" w:rsidRPr="00CA56DB">
              <w:rPr>
                <w:rFonts w:cs="Arial"/>
                <w:sz w:val="20"/>
              </w:rPr>
              <w:t xml:space="preserve">All pharmacies will be given advance </w:t>
            </w:r>
            <w:r w:rsidR="00046D3D">
              <w:rPr>
                <w:rFonts w:cs="Arial"/>
                <w:sz w:val="20"/>
              </w:rPr>
              <w:t xml:space="preserve">written </w:t>
            </w:r>
            <w:r w:rsidR="00046D3D" w:rsidRPr="00CA56DB">
              <w:rPr>
                <w:rFonts w:cs="Arial"/>
                <w:sz w:val="20"/>
              </w:rPr>
              <w:t>notice of quality assurance visits.</w:t>
            </w:r>
          </w:p>
          <w:p w14:paraId="20785AE7" w14:textId="77777777" w:rsidR="005C7C39" w:rsidRPr="005C7C39" w:rsidRDefault="005C7C39" w:rsidP="005C7C39">
            <w:pPr>
              <w:rPr>
                <w:rFonts w:cs="Arial"/>
                <w:sz w:val="20"/>
              </w:rPr>
            </w:pPr>
          </w:p>
          <w:p w14:paraId="44441800" w14:textId="12DF76C3" w:rsidR="005C7C39" w:rsidRPr="00857E96" w:rsidRDefault="005C7C39" w:rsidP="00857E96">
            <w:pPr>
              <w:rPr>
                <w:rFonts w:cs="Arial"/>
                <w:sz w:val="20"/>
              </w:rPr>
            </w:pPr>
            <w:r w:rsidRPr="00857E96">
              <w:rPr>
                <w:rFonts w:cs="Arial"/>
                <w:sz w:val="20"/>
              </w:rPr>
              <w:t xml:space="preserve">The service provider </w:t>
            </w:r>
            <w:r w:rsidR="00D922D1">
              <w:rPr>
                <w:rFonts w:cs="Arial"/>
                <w:sz w:val="20"/>
              </w:rPr>
              <w:t>should</w:t>
            </w:r>
            <w:r w:rsidRPr="00857E96">
              <w:rPr>
                <w:rFonts w:cs="Arial"/>
                <w:sz w:val="20"/>
              </w:rPr>
              <w:t xml:space="preserve"> have appropriate health promotion material available for the user group and promotes its uptake</w:t>
            </w:r>
            <w:r w:rsidRPr="00FF5E9C">
              <w:rPr>
                <w:rFonts w:cs="Arial"/>
                <w:sz w:val="20"/>
              </w:rPr>
              <w:t>.</w:t>
            </w:r>
            <w:r w:rsidR="00FF5E9C">
              <w:rPr>
                <w:rFonts w:cs="Arial"/>
                <w:sz w:val="20"/>
              </w:rPr>
              <w:t xml:space="preserve"> </w:t>
            </w:r>
            <w:r w:rsidR="00FF5E9C" w:rsidRPr="00FF5E9C">
              <w:rPr>
                <w:rFonts w:cs="Arial"/>
                <w:sz w:val="20"/>
              </w:rPr>
              <w:t xml:space="preserve">Health promotion material can be obtained from Halton’s Health Improvement team and </w:t>
            </w:r>
            <w:r w:rsidR="00694AD3">
              <w:rPr>
                <w:rFonts w:cs="Arial"/>
                <w:sz w:val="20"/>
              </w:rPr>
              <w:t>Change, Grow, Live (</w:t>
            </w:r>
            <w:r w:rsidR="00FF5E9C" w:rsidRPr="00FF5E9C">
              <w:rPr>
                <w:rFonts w:cs="Arial"/>
                <w:sz w:val="20"/>
              </w:rPr>
              <w:t>CGL</w:t>
            </w:r>
            <w:r w:rsidR="00694AD3">
              <w:rPr>
                <w:rFonts w:cs="Arial"/>
                <w:sz w:val="20"/>
              </w:rPr>
              <w:t>)</w:t>
            </w:r>
            <w:r w:rsidR="00FF5E9C" w:rsidRPr="00FF5E9C">
              <w:rPr>
                <w:rFonts w:cs="Arial"/>
                <w:sz w:val="20"/>
              </w:rPr>
              <w:t>.</w:t>
            </w:r>
          </w:p>
          <w:p w14:paraId="035987CD" w14:textId="77777777" w:rsidR="005C7C39" w:rsidRPr="005C7C39" w:rsidRDefault="005C7C39" w:rsidP="005C7C39">
            <w:pPr>
              <w:rPr>
                <w:rFonts w:cs="Arial"/>
                <w:sz w:val="20"/>
              </w:rPr>
            </w:pPr>
          </w:p>
          <w:p w14:paraId="1CBB881C" w14:textId="51290F1E" w:rsidR="005C7C39" w:rsidRPr="00857E96" w:rsidRDefault="005C7C39" w:rsidP="00857E96">
            <w:pPr>
              <w:rPr>
                <w:rFonts w:cs="Arial"/>
                <w:sz w:val="20"/>
              </w:rPr>
            </w:pPr>
            <w:r w:rsidRPr="00857E96">
              <w:rPr>
                <w:rFonts w:cs="Arial"/>
                <w:sz w:val="20"/>
              </w:rPr>
              <w:t xml:space="preserve">The service provider must review its standard operating procedures and the referral pathways for the service </w:t>
            </w:r>
            <w:r w:rsidR="006E472E">
              <w:rPr>
                <w:rFonts w:cs="Arial"/>
                <w:sz w:val="20"/>
              </w:rPr>
              <w:t>every two years.</w:t>
            </w:r>
          </w:p>
          <w:p w14:paraId="61615C55" w14:textId="77777777" w:rsidR="005C7C39" w:rsidRPr="005C7C39" w:rsidRDefault="005C7C39" w:rsidP="005C7C39">
            <w:pPr>
              <w:rPr>
                <w:rFonts w:cs="Arial"/>
                <w:sz w:val="20"/>
              </w:rPr>
            </w:pPr>
          </w:p>
          <w:p w14:paraId="6F2011A0" w14:textId="7284784B" w:rsidR="005C7C39" w:rsidRPr="00857E96" w:rsidRDefault="005C7C39" w:rsidP="00857E96">
            <w:pPr>
              <w:rPr>
                <w:rFonts w:cs="Arial"/>
                <w:sz w:val="20"/>
              </w:rPr>
            </w:pPr>
            <w:r w:rsidRPr="00857E96">
              <w:rPr>
                <w:rFonts w:cs="Arial"/>
                <w:sz w:val="20"/>
              </w:rPr>
              <w:t>The service provider must maintain up to date Centre for Pharmaceutical Postgraduate Education (CPPE) self-declarations of competencies for community pharmacies in Needle and Syringe Programmes and make these available to HBC on request.</w:t>
            </w:r>
          </w:p>
          <w:p w14:paraId="3C5124C8" w14:textId="77777777" w:rsidR="005C7C39" w:rsidRPr="005C7C39" w:rsidRDefault="005C7C39" w:rsidP="005C7C39">
            <w:pPr>
              <w:rPr>
                <w:rFonts w:cs="Arial"/>
                <w:sz w:val="20"/>
              </w:rPr>
            </w:pPr>
          </w:p>
          <w:p w14:paraId="0FFCD7AA" w14:textId="36BBC425" w:rsidR="005C7C39" w:rsidRDefault="005C7C39" w:rsidP="00857E96">
            <w:pPr>
              <w:rPr>
                <w:rFonts w:cs="Arial"/>
                <w:sz w:val="20"/>
              </w:rPr>
            </w:pPr>
            <w:r w:rsidRPr="00857E96">
              <w:rPr>
                <w:rFonts w:cs="Arial"/>
                <w:sz w:val="20"/>
              </w:rPr>
              <w:t xml:space="preserve">The service provider must be able to demonstrate that pharmacists and staff involved in the provision of the service have undertaken </w:t>
            </w:r>
            <w:r w:rsidR="00307B4D">
              <w:rPr>
                <w:rFonts w:cs="Arial"/>
                <w:sz w:val="20"/>
              </w:rPr>
              <w:t>appropriate</w:t>
            </w:r>
            <w:r w:rsidR="000D3C66">
              <w:rPr>
                <w:rFonts w:cs="Arial"/>
                <w:sz w:val="20"/>
              </w:rPr>
              <w:t xml:space="preserve"> training.</w:t>
            </w:r>
          </w:p>
          <w:p w14:paraId="45726748" w14:textId="77777777" w:rsidR="00C84587" w:rsidRPr="007D73C4" w:rsidRDefault="00C84587" w:rsidP="00C84587">
            <w:pPr>
              <w:pStyle w:val="pf0"/>
              <w:rPr>
                <w:rFonts w:ascii="Arial" w:hAnsi="Arial" w:cs="Arial"/>
                <w:b/>
                <w:bCs/>
                <w:sz w:val="20"/>
                <w:szCs w:val="20"/>
              </w:rPr>
            </w:pPr>
            <w:r w:rsidRPr="00C84587">
              <w:rPr>
                <w:rStyle w:val="cf01"/>
                <w:rFonts w:ascii="Arial" w:hAnsi="Arial" w:cs="Arial"/>
                <w:b w:val="0"/>
                <w:bCs w:val="0"/>
                <w:sz w:val="20"/>
                <w:szCs w:val="20"/>
              </w:rPr>
              <w:t xml:space="preserve">The pharmacist must satisfy the requirements of the CPPE self-declaration of competence “Needle </w:t>
            </w:r>
            <w:r w:rsidRPr="007D73C4">
              <w:rPr>
                <w:rStyle w:val="cf01"/>
                <w:rFonts w:ascii="Arial" w:hAnsi="Arial" w:cs="Arial"/>
                <w:b w:val="0"/>
                <w:bCs w:val="0"/>
                <w:sz w:val="20"/>
                <w:szCs w:val="20"/>
              </w:rPr>
              <w:t>and syringe programme”</w:t>
            </w:r>
            <w:r w:rsidRPr="007D73C4">
              <w:rPr>
                <w:rStyle w:val="cf11"/>
                <w:rFonts w:ascii="Arial" w:hAnsi="Arial" w:cs="Arial"/>
                <w:b w:val="0"/>
                <w:bCs w:val="0"/>
                <w:sz w:val="20"/>
                <w:szCs w:val="20"/>
              </w:rPr>
              <w:t xml:space="preserve"> and complete a declaration of competence which can be located </w:t>
            </w:r>
            <w:hyperlink r:id="rId10" w:history="1">
              <w:r w:rsidRPr="007D73C4">
                <w:rPr>
                  <w:rStyle w:val="cf01"/>
                  <w:rFonts w:ascii="Arial" w:hAnsi="Arial" w:cs="Arial"/>
                  <w:b w:val="0"/>
                  <w:bCs w:val="0"/>
                  <w:color w:val="0000FF"/>
                  <w:sz w:val="20"/>
                  <w:szCs w:val="20"/>
                  <w:u w:val="single"/>
                </w:rPr>
                <w:t>here</w:t>
              </w:r>
            </w:hyperlink>
            <w:r w:rsidRPr="007D73C4">
              <w:rPr>
                <w:rStyle w:val="cf21"/>
                <w:rFonts w:ascii="Arial" w:hAnsi="Arial" w:cs="Arial"/>
                <w:b/>
                <w:bCs/>
                <w:sz w:val="20"/>
                <w:szCs w:val="20"/>
              </w:rPr>
              <w:t>.</w:t>
            </w:r>
          </w:p>
          <w:p w14:paraId="67B5B86D" w14:textId="1912219C" w:rsidR="00B0015A" w:rsidRPr="00B0015A" w:rsidRDefault="00B0015A" w:rsidP="00B0015A">
            <w:pPr>
              <w:suppressAutoHyphens w:val="0"/>
              <w:spacing w:before="100" w:beforeAutospacing="1" w:after="100" w:afterAutospacing="1"/>
              <w:jc w:val="left"/>
              <w:rPr>
                <w:rFonts w:cs="Arial"/>
                <w:sz w:val="20"/>
                <w:lang w:eastAsia="en-GB"/>
              </w:rPr>
            </w:pPr>
            <w:r w:rsidRPr="00B0015A">
              <w:rPr>
                <w:rFonts w:cs="Arial"/>
                <w:sz w:val="20"/>
                <w:lang w:eastAsia="en-GB"/>
              </w:rPr>
              <w:t xml:space="preserve">The </w:t>
            </w:r>
            <w:r w:rsidR="00757113">
              <w:rPr>
                <w:rFonts w:cs="Arial"/>
                <w:sz w:val="20"/>
                <w:lang w:eastAsia="en-GB"/>
              </w:rPr>
              <w:t>service p</w:t>
            </w:r>
            <w:r w:rsidRPr="00B0015A">
              <w:rPr>
                <w:rFonts w:cs="Arial"/>
                <w:sz w:val="20"/>
                <w:lang w:eastAsia="en-GB"/>
              </w:rPr>
              <w:t xml:space="preserve">rovider is required to ensure that all pharmacists and pharmacy technicians are fully compliant when providing NSP services and have the relevant qualifications, registrations and completed relevant Centre for Pharmacy Postgraduate Education (CPPE) declaration of competence. </w:t>
            </w:r>
          </w:p>
          <w:p w14:paraId="41711F44" w14:textId="77777777" w:rsidR="00B0015A" w:rsidRPr="00B0015A" w:rsidRDefault="00B0015A" w:rsidP="00B0015A">
            <w:pPr>
              <w:suppressAutoHyphens w:val="0"/>
              <w:jc w:val="left"/>
              <w:rPr>
                <w:rFonts w:cs="Arial"/>
                <w:sz w:val="20"/>
                <w:lang w:eastAsia="en-GB"/>
              </w:rPr>
            </w:pPr>
            <w:r w:rsidRPr="00B0015A">
              <w:rPr>
                <w:rFonts w:cs="Arial"/>
                <w:sz w:val="20"/>
                <w:lang w:eastAsia="en-GB"/>
              </w:rPr>
              <w:t>CPPE e- learning which supports this declaration includes:</w:t>
            </w:r>
          </w:p>
          <w:p w14:paraId="2BC93C3C" w14:textId="77777777" w:rsidR="00B0015A" w:rsidRPr="00B0015A" w:rsidRDefault="00B0015A" w:rsidP="00B0015A">
            <w:pPr>
              <w:suppressAutoHyphens w:val="0"/>
              <w:jc w:val="left"/>
              <w:rPr>
                <w:rFonts w:cs="Arial"/>
                <w:sz w:val="20"/>
                <w:lang w:eastAsia="en-GB"/>
              </w:rPr>
            </w:pPr>
            <w:hyperlink r:id="rId11" w:history="1">
              <w:r w:rsidRPr="00B0015A">
                <w:rPr>
                  <w:rFonts w:cs="Arial"/>
                  <w:color w:val="0000FF"/>
                  <w:sz w:val="20"/>
                  <w:u w:val="single"/>
                  <w:lang w:eastAsia="en-GB"/>
                </w:rPr>
                <w:t>Substance use and misuse (July 2021)</w:t>
              </w:r>
            </w:hyperlink>
            <w:r w:rsidRPr="00B0015A">
              <w:rPr>
                <w:rFonts w:cs="Arial"/>
                <w:sz w:val="20"/>
                <w:lang w:eastAsia="en-GB"/>
              </w:rPr>
              <w:t>: CPPE e-Course</w:t>
            </w:r>
          </w:p>
          <w:p w14:paraId="62189D0A" w14:textId="77777777" w:rsidR="00B0015A" w:rsidRPr="00B0015A" w:rsidRDefault="00B0015A" w:rsidP="00B0015A">
            <w:pPr>
              <w:suppressAutoHyphens w:val="0"/>
              <w:jc w:val="left"/>
              <w:rPr>
                <w:rFonts w:cs="Arial"/>
                <w:sz w:val="20"/>
                <w:lang w:eastAsia="en-GB"/>
              </w:rPr>
            </w:pPr>
            <w:hyperlink r:id="rId12" w:history="1">
              <w:r w:rsidRPr="00B0015A">
                <w:rPr>
                  <w:rFonts w:cs="Arial"/>
                  <w:color w:val="0000FF"/>
                  <w:sz w:val="20"/>
                  <w:u w:val="single"/>
                  <w:lang w:eastAsia="en-GB"/>
                </w:rPr>
                <w:t>Substance use and misuse (2023): CPPE</w:t>
              </w:r>
            </w:hyperlink>
            <w:r w:rsidRPr="00B0015A">
              <w:rPr>
                <w:rFonts w:cs="Arial"/>
                <w:sz w:val="20"/>
                <w:lang w:eastAsia="en-GB"/>
              </w:rPr>
              <w:t xml:space="preserve">- e- Assessment </w:t>
            </w:r>
          </w:p>
          <w:p w14:paraId="6964F879" w14:textId="25B2C7B7" w:rsidR="00B0015A" w:rsidRPr="007D73C4" w:rsidRDefault="00B0015A" w:rsidP="00B0015A">
            <w:pPr>
              <w:suppressAutoHyphens w:val="0"/>
              <w:jc w:val="left"/>
              <w:rPr>
                <w:rFonts w:cs="Arial"/>
                <w:sz w:val="20"/>
                <w:lang w:eastAsia="en-GB"/>
              </w:rPr>
            </w:pPr>
            <w:hyperlink r:id="rId13" w:history="1">
              <w:r w:rsidRPr="00B0015A">
                <w:rPr>
                  <w:rFonts w:cs="Arial"/>
                  <w:color w:val="0000FF"/>
                  <w:sz w:val="20"/>
                  <w:u w:val="single"/>
                  <w:lang w:eastAsia="en-GB"/>
                </w:rPr>
                <w:t>Addiction, misuse and dependency (June 2017)</w:t>
              </w:r>
            </w:hyperlink>
            <w:r w:rsidRPr="00B0015A">
              <w:rPr>
                <w:rFonts w:cs="Arial"/>
                <w:b/>
                <w:bCs/>
                <w:sz w:val="20"/>
                <w:lang w:eastAsia="en-GB"/>
              </w:rPr>
              <w:t xml:space="preserve">: </w:t>
            </w:r>
            <w:r w:rsidRPr="00B0015A">
              <w:rPr>
                <w:rFonts w:cs="Arial"/>
                <w:b/>
                <w:bCs/>
                <w:i/>
                <w:iCs/>
                <w:sz w:val="20"/>
                <w:lang w:eastAsia="en-GB"/>
              </w:rPr>
              <w:t xml:space="preserve">A focus on over-the counter and prescribed medicines: </w:t>
            </w:r>
            <w:r w:rsidRPr="00B0015A">
              <w:rPr>
                <w:rFonts w:cs="Arial"/>
                <w:b/>
                <w:bCs/>
                <w:sz w:val="20"/>
                <w:lang w:eastAsia="en-GB"/>
              </w:rPr>
              <w:t> </w:t>
            </w:r>
            <w:r w:rsidRPr="00B0015A">
              <w:rPr>
                <w:rFonts w:cs="Arial"/>
                <w:sz w:val="20"/>
                <w:lang w:eastAsia="en-GB"/>
              </w:rPr>
              <w:t>CPPE e-learning module</w:t>
            </w:r>
          </w:p>
          <w:p w14:paraId="7102EBC2" w14:textId="77777777" w:rsidR="003E08EA" w:rsidRPr="00B0015A" w:rsidRDefault="003E08EA" w:rsidP="00B0015A">
            <w:pPr>
              <w:suppressAutoHyphens w:val="0"/>
              <w:jc w:val="left"/>
              <w:rPr>
                <w:rFonts w:cs="Arial"/>
                <w:sz w:val="20"/>
                <w:lang w:eastAsia="en-GB"/>
              </w:rPr>
            </w:pPr>
          </w:p>
          <w:p w14:paraId="66DE734C" w14:textId="3999C334" w:rsidR="00B0015A" w:rsidRPr="00B0015A" w:rsidRDefault="00B0015A" w:rsidP="003E08EA">
            <w:pPr>
              <w:suppressAutoHyphens w:val="0"/>
              <w:jc w:val="left"/>
              <w:rPr>
                <w:rFonts w:cs="Arial"/>
                <w:sz w:val="20"/>
                <w:lang w:eastAsia="en-GB"/>
              </w:rPr>
            </w:pPr>
            <w:r w:rsidRPr="00B0015A">
              <w:rPr>
                <w:rFonts w:cs="Arial"/>
                <w:sz w:val="20"/>
                <w:lang w:eastAsia="en-GB"/>
              </w:rPr>
              <w:t>Other training suitable for all staff</w:t>
            </w:r>
            <w:r w:rsidR="003E08EA" w:rsidRPr="007D73C4">
              <w:rPr>
                <w:rFonts w:cs="Arial"/>
                <w:sz w:val="20"/>
                <w:lang w:eastAsia="en-GB"/>
              </w:rPr>
              <w:t xml:space="preserve"> includes:</w:t>
            </w:r>
          </w:p>
          <w:p w14:paraId="7EFA2723" w14:textId="77777777" w:rsidR="00B0015A" w:rsidRPr="00B0015A" w:rsidRDefault="00B0015A" w:rsidP="003E08EA">
            <w:pPr>
              <w:suppressAutoHyphens w:val="0"/>
              <w:jc w:val="left"/>
              <w:rPr>
                <w:rFonts w:cs="Arial"/>
                <w:sz w:val="20"/>
                <w:lang w:eastAsia="en-GB"/>
              </w:rPr>
            </w:pPr>
            <w:hyperlink r:id="rId14" w:history="1">
              <w:r w:rsidRPr="00B0015A">
                <w:rPr>
                  <w:rFonts w:cs="Arial"/>
                  <w:color w:val="0000FF"/>
                  <w:sz w:val="20"/>
                  <w:u w:val="single"/>
                  <w:lang w:eastAsia="en-GB"/>
                </w:rPr>
                <w:t>http://www.frontiersharpsafety.com/</w:t>
              </w:r>
            </w:hyperlink>
            <w:r w:rsidRPr="00B0015A">
              <w:rPr>
                <w:rFonts w:cs="Arial"/>
                <w:sz w:val="20"/>
                <w:lang w:eastAsia="en-GB"/>
              </w:rPr>
              <w:t xml:space="preserve"> - Training modules</w:t>
            </w:r>
          </w:p>
          <w:p w14:paraId="1F91759F" w14:textId="33D45C8C" w:rsidR="00B0015A" w:rsidRPr="00B0015A" w:rsidRDefault="00B0015A" w:rsidP="003E08EA">
            <w:pPr>
              <w:suppressAutoHyphens w:val="0"/>
              <w:jc w:val="left"/>
              <w:rPr>
                <w:rFonts w:cs="Arial"/>
                <w:sz w:val="20"/>
                <w:lang w:eastAsia="en-GB"/>
              </w:rPr>
            </w:pPr>
            <w:r w:rsidRPr="00B0015A">
              <w:rPr>
                <w:rFonts w:cs="Arial"/>
                <w:sz w:val="20"/>
                <w:lang w:eastAsia="en-GB"/>
              </w:rPr>
              <w:t> </w:t>
            </w:r>
            <w:hyperlink r:id="rId15" w:history="1">
              <w:r w:rsidRPr="00B0015A">
                <w:rPr>
                  <w:rFonts w:cs="Arial"/>
                  <w:color w:val="0000FF"/>
                  <w:sz w:val="20"/>
                  <w:u w:val="single"/>
                  <w:lang w:eastAsia="en-GB"/>
                </w:rPr>
                <w:t>http://www.ipedinfo.co.uk/index.html</w:t>
              </w:r>
            </w:hyperlink>
            <w:r w:rsidRPr="00B0015A">
              <w:rPr>
                <w:rFonts w:cs="Arial"/>
                <w:sz w:val="20"/>
                <w:lang w:eastAsia="en-GB"/>
              </w:rPr>
              <w:t xml:space="preserve"> - Information and videos for training on Steroid Injecting</w:t>
            </w:r>
          </w:p>
          <w:p w14:paraId="7FB4A4EF" w14:textId="77777777" w:rsidR="000D3C66" w:rsidRPr="00857E96" w:rsidRDefault="000D3C66" w:rsidP="00857E96">
            <w:pPr>
              <w:rPr>
                <w:rFonts w:cs="Arial"/>
                <w:sz w:val="20"/>
              </w:rPr>
            </w:pPr>
          </w:p>
          <w:p w14:paraId="1BD7EC03" w14:textId="77777777" w:rsidR="005C7C39" w:rsidRPr="005C7C39" w:rsidRDefault="005C7C39" w:rsidP="005C7C39">
            <w:pPr>
              <w:rPr>
                <w:rFonts w:cs="Arial"/>
                <w:sz w:val="20"/>
              </w:rPr>
            </w:pPr>
          </w:p>
          <w:p w14:paraId="4585E231" w14:textId="77777777" w:rsidR="005C7C39" w:rsidRPr="00857E96" w:rsidRDefault="005C7C39" w:rsidP="00857E96">
            <w:pPr>
              <w:rPr>
                <w:rFonts w:cs="Arial"/>
                <w:sz w:val="20"/>
              </w:rPr>
            </w:pPr>
            <w:r w:rsidRPr="00857E96">
              <w:rPr>
                <w:rFonts w:cs="Arial"/>
                <w:sz w:val="20"/>
              </w:rPr>
              <w:t>If requested the service provider must participate in an annual HBC organised audit of service provision.</w:t>
            </w:r>
          </w:p>
          <w:p w14:paraId="3C4346FF" w14:textId="77777777" w:rsidR="005C7C39" w:rsidRPr="005C7C39" w:rsidRDefault="005C7C39" w:rsidP="005C7C39">
            <w:pPr>
              <w:rPr>
                <w:rFonts w:cs="Arial"/>
                <w:sz w:val="20"/>
              </w:rPr>
            </w:pPr>
          </w:p>
          <w:p w14:paraId="5DFB7D57" w14:textId="6DBAF2FB" w:rsidR="00857E96" w:rsidRPr="0091604E" w:rsidRDefault="005C7C39" w:rsidP="0091604E">
            <w:pPr>
              <w:rPr>
                <w:rFonts w:cs="Arial"/>
                <w:sz w:val="20"/>
              </w:rPr>
            </w:pPr>
            <w:r w:rsidRPr="00857E96">
              <w:rPr>
                <w:rFonts w:cs="Arial"/>
                <w:sz w:val="20"/>
              </w:rPr>
              <w:t xml:space="preserve">It is the responsibility of the service provider to keep up to date with changes in guidance and keep abreast of any local or national issues relating to the needle and syringe provision service. </w:t>
            </w:r>
          </w:p>
          <w:p w14:paraId="45C60555" w14:textId="5246694E" w:rsidR="00857E96" w:rsidRPr="00857E96" w:rsidRDefault="00857E96" w:rsidP="00857E96">
            <w:pPr>
              <w:pStyle w:val="ListParagraph"/>
              <w:rPr>
                <w:rFonts w:cs="Arial"/>
                <w:b/>
                <w:bCs/>
                <w:sz w:val="20"/>
              </w:rPr>
            </w:pPr>
          </w:p>
        </w:tc>
      </w:tr>
      <w:tr w:rsidR="00886CA9" w:rsidRPr="00FA34B0" w14:paraId="09EECEF8" w14:textId="77777777" w:rsidTr="006969ED">
        <w:tc>
          <w:tcPr>
            <w:tcW w:w="9016" w:type="dxa"/>
            <w:shd w:val="clear" w:color="auto" w:fill="BFBFBF" w:themeFill="background1" w:themeFillShade="BF"/>
          </w:tcPr>
          <w:p w14:paraId="097934E4" w14:textId="27796573" w:rsidR="00886CA9" w:rsidRPr="006969ED" w:rsidRDefault="00886CA9" w:rsidP="00886CA9">
            <w:pPr>
              <w:rPr>
                <w:rFonts w:cs="Arial"/>
                <w:b/>
                <w:bCs/>
                <w:sz w:val="20"/>
              </w:rPr>
            </w:pPr>
            <w:r w:rsidRPr="006969ED">
              <w:rPr>
                <w:rFonts w:cs="Arial"/>
                <w:b/>
                <w:bCs/>
                <w:sz w:val="20"/>
              </w:rPr>
              <w:lastRenderedPageBreak/>
              <w:t>5. Applicable Service Standards</w:t>
            </w:r>
          </w:p>
        </w:tc>
      </w:tr>
      <w:tr w:rsidR="00886CA9" w:rsidRPr="00FA34B0" w14:paraId="195362DF" w14:textId="77777777" w:rsidTr="001E2E94">
        <w:tc>
          <w:tcPr>
            <w:tcW w:w="9016" w:type="dxa"/>
          </w:tcPr>
          <w:p w14:paraId="1B67CB88" w14:textId="2A072BAF" w:rsidR="00886CA9" w:rsidRDefault="00886CA9" w:rsidP="00886CA9">
            <w:pPr>
              <w:rPr>
                <w:rFonts w:cs="Arial"/>
                <w:b/>
                <w:bCs/>
                <w:sz w:val="20"/>
              </w:rPr>
            </w:pPr>
            <w:r w:rsidRPr="00CE4201">
              <w:rPr>
                <w:rFonts w:cs="Arial"/>
                <w:b/>
                <w:bCs/>
                <w:sz w:val="20"/>
              </w:rPr>
              <w:t>5.1 Applicable national standards (e.g. NICE)</w:t>
            </w:r>
          </w:p>
          <w:p w14:paraId="0DB5C1EB" w14:textId="77777777" w:rsidR="00886CA9" w:rsidRPr="00DD4963" w:rsidRDefault="00886CA9" w:rsidP="00886CA9">
            <w:pPr>
              <w:contextualSpacing/>
              <w:rPr>
                <w:rFonts w:cs="Arial"/>
                <w:sz w:val="20"/>
              </w:rPr>
            </w:pPr>
            <w:r w:rsidRPr="00B80AA6">
              <w:rPr>
                <w:rFonts w:cs="Arial"/>
                <w:sz w:val="20"/>
              </w:rPr>
              <w:t>NICE Guidance PH52 Needle and Syringe Programmes replaced Public Health guideline 18 in March 2014.  The guidance makes the following recommendations in relation to community based needle and syringe programmes:</w:t>
            </w:r>
          </w:p>
          <w:p w14:paraId="10DD0288" w14:textId="77777777" w:rsidR="00886CA9" w:rsidRPr="00DD4963" w:rsidRDefault="00886CA9" w:rsidP="00886CA9">
            <w:pPr>
              <w:contextualSpacing/>
              <w:rPr>
                <w:rFonts w:cs="Arial"/>
                <w:sz w:val="20"/>
              </w:rPr>
            </w:pPr>
          </w:p>
          <w:p w14:paraId="09B6CAB1" w14:textId="77777777" w:rsidR="00886CA9" w:rsidRPr="00923576" w:rsidRDefault="00886CA9" w:rsidP="00886CA9">
            <w:pPr>
              <w:pStyle w:val="ListParagraph"/>
              <w:numPr>
                <w:ilvl w:val="0"/>
                <w:numId w:val="17"/>
              </w:numPr>
              <w:suppressAutoHyphens w:val="0"/>
              <w:rPr>
                <w:rFonts w:cs="Arial"/>
                <w:sz w:val="20"/>
              </w:rPr>
            </w:pPr>
            <w:r w:rsidRPr="00DD4963">
              <w:rPr>
                <w:rFonts w:cs="Arial"/>
                <w:sz w:val="20"/>
              </w:rPr>
              <w:t>Ensure staff who distribute needles and syringes are competent to deliver the level of service they offer. As a minimum, this should include awareness of the need for discretion and the need to respect the privacy and confidentiality of people who inject drugs. It should also include an understanding of how to treat people in a non-judgmental way;</w:t>
            </w:r>
          </w:p>
          <w:p w14:paraId="448A8D04" w14:textId="77777777" w:rsidR="00886CA9" w:rsidRPr="00923576" w:rsidRDefault="00886CA9" w:rsidP="00886CA9">
            <w:pPr>
              <w:pStyle w:val="ListParagraph"/>
              <w:numPr>
                <w:ilvl w:val="0"/>
                <w:numId w:val="17"/>
              </w:numPr>
              <w:suppressAutoHyphens w:val="0"/>
              <w:rPr>
                <w:rFonts w:cs="Arial"/>
                <w:sz w:val="20"/>
              </w:rPr>
            </w:pPr>
            <w:r w:rsidRPr="00DD4963">
              <w:rPr>
                <w:rFonts w:cs="Arial"/>
                <w:sz w:val="20"/>
              </w:rPr>
              <w:t>Ensure staff have received health and safety training, for example, in relation to blood-borne viruses, needlestick injuries and the safe disposal of needles, syringes and other injecting equipment;</w:t>
            </w:r>
          </w:p>
          <w:p w14:paraId="1250AC72" w14:textId="77777777" w:rsidR="00886CA9" w:rsidRPr="00923576" w:rsidRDefault="00886CA9" w:rsidP="00886CA9">
            <w:pPr>
              <w:pStyle w:val="ListParagraph"/>
              <w:numPr>
                <w:ilvl w:val="0"/>
                <w:numId w:val="17"/>
              </w:numPr>
              <w:suppressAutoHyphens w:val="0"/>
              <w:rPr>
                <w:rFonts w:cs="Arial"/>
                <w:sz w:val="20"/>
              </w:rPr>
            </w:pPr>
            <w:r w:rsidRPr="00DD4963">
              <w:rPr>
                <w:rFonts w:cs="Arial"/>
                <w:sz w:val="20"/>
              </w:rPr>
              <w:t>Ensure hepatitis B vaccination is available for staff directly involved in the needle and syringe programme;</w:t>
            </w:r>
          </w:p>
          <w:p w14:paraId="3BF44AA9" w14:textId="77777777" w:rsidR="00886CA9" w:rsidRPr="00923576" w:rsidRDefault="00886CA9" w:rsidP="00886CA9">
            <w:pPr>
              <w:pStyle w:val="ListParagraph"/>
              <w:numPr>
                <w:ilvl w:val="0"/>
                <w:numId w:val="17"/>
              </w:numPr>
              <w:suppressAutoHyphens w:val="0"/>
              <w:rPr>
                <w:rFonts w:cs="Arial"/>
                <w:sz w:val="20"/>
              </w:rPr>
            </w:pPr>
            <w:r w:rsidRPr="00DD4963">
              <w:rPr>
                <w:rFonts w:cs="Arial"/>
                <w:sz w:val="20"/>
              </w:rPr>
              <w:lastRenderedPageBreak/>
              <w:t>Ensure staff are aware of, encourage and can refer people to, other healthcare services in</w:t>
            </w:r>
            <w:r>
              <w:rPr>
                <w:rFonts w:cs="Arial"/>
                <w:sz w:val="20"/>
              </w:rPr>
              <w:t>cluding drug treatment services;</w:t>
            </w:r>
          </w:p>
          <w:p w14:paraId="25E1068B" w14:textId="1E496793" w:rsidR="00886CA9" w:rsidRPr="00923576" w:rsidRDefault="00886CA9" w:rsidP="00886CA9">
            <w:pPr>
              <w:pStyle w:val="ListParagraph"/>
              <w:numPr>
                <w:ilvl w:val="0"/>
                <w:numId w:val="17"/>
              </w:numPr>
              <w:suppressAutoHyphens w:val="0"/>
              <w:rPr>
                <w:rFonts w:cs="Arial"/>
                <w:sz w:val="20"/>
              </w:rPr>
            </w:pPr>
            <w:r w:rsidRPr="00DD4963">
              <w:rPr>
                <w:rFonts w:cs="Arial"/>
                <w:sz w:val="20"/>
              </w:rPr>
              <w:t>Ensure staff offer wider health promotion advi</w:t>
            </w:r>
            <w:r>
              <w:rPr>
                <w:rFonts w:cs="Arial"/>
                <w:sz w:val="20"/>
              </w:rPr>
              <w:t>ce, as relevant, to individuals;</w:t>
            </w:r>
          </w:p>
          <w:p w14:paraId="44C4D178" w14:textId="77777777" w:rsidR="00886CA9" w:rsidRPr="00923576" w:rsidRDefault="00886CA9" w:rsidP="00886CA9">
            <w:pPr>
              <w:pStyle w:val="ListParagraph"/>
              <w:numPr>
                <w:ilvl w:val="0"/>
                <w:numId w:val="17"/>
              </w:numPr>
              <w:contextualSpacing w:val="0"/>
              <w:rPr>
                <w:rFonts w:cs="Arial"/>
                <w:sz w:val="20"/>
              </w:rPr>
            </w:pPr>
            <w:r w:rsidRPr="00DD4963">
              <w:rPr>
                <w:rFonts w:cs="Arial"/>
                <w:sz w:val="20"/>
              </w:rPr>
              <w:t xml:space="preserve">The service provider must comply with </w:t>
            </w:r>
            <w:r>
              <w:rPr>
                <w:rFonts w:cs="Arial"/>
                <w:sz w:val="20"/>
              </w:rPr>
              <w:t>the following quality standards;</w:t>
            </w:r>
          </w:p>
          <w:p w14:paraId="47591040" w14:textId="77777777" w:rsidR="00886CA9" w:rsidRPr="00923576" w:rsidRDefault="00886CA9" w:rsidP="00886CA9">
            <w:pPr>
              <w:pStyle w:val="ListParagraph"/>
              <w:numPr>
                <w:ilvl w:val="0"/>
                <w:numId w:val="17"/>
              </w:numPr>
              <w:suppressAutoHyphens w:val="0"/>
              <w:spacing w:after="200" w:line="276" w:lineRule="auto"/>
              <w:rPr>
                <w:rFonts w:cs="Arial"/>
                <w:sz w:val="20"/>
              </w:rPr>
            </w:pPr>
            <w:r w:rsidRPr="00DD4963">
              <w:rPr>
                <w:rFonts w:cs="Arial"/>
                <w:sz w:val="20"/>
              </w:rPr>
              <w:t>Standards for registered pharmacies as set out by the General Pharmaceutical Council</w:t>
            </w:r>
            <w:r>
              <w:rPr>
                <w:rFonts w:cs="Arial"/>
                <w:sz w:val="20"/>
              </w:rPr>
              <w:t>;</w:t>
            </w:r>
          </w:p>
          <w:p w14:paraId="3ED14BE1" w14:textId="77777777" w:rsidR="00886CA9" w:rsidRPr="00DD4963" w:rsidRDefault="00886CA9" w:rsidP="00886CA9">
            <w:pPr>
              <w:pStyle w:val="ListParagraph"/>
              <w:numPr>
                <w:ilvl w:val="0"/>
                <w:numId w:val="17"/>
              </w:numPr>
              <w:suppressAutoHyphens w:val="0"/>
              <w:spacing w:after="200" w:line="276" w:lineRule="auto"/>
              <w:rPr>
                <w:rFonts w:cs="Arial"/>
                <w:sz w:val="20"/>
              </w:rPr>
            </w:pPr>
            <w:r w:rsidRPr="00DD4963">
              <w:rPr>
                <w:rFonts w:cs="Arial"/>
                <w:sz w:val="20"/>
              </w:rPr>
              <w:t>Quality standards set out by NHS England.</w:t>
            </w:r>
          </w:p>
          <w:p w14:paraId="7E58CE67" w14:textId="77777777" w:rsidR="00886CA9" w:rsidRPr="00DD4963" w:rsidRDefault="00886CA9" w:rsidP="00886CA9">
            <w:pPr>
              <w:rPr>
                <w:rFonts w:cs="Arial"/>
                <w:sz w:val="20"/>
              </w:rPr>
            </w:pPr>
            <w:r w:rsidRPr="00DD4963">
              <w:rPr>
                <w:rFonts w:cs="Arial"/>
                <w:sz w:val="20"/>
              </w:rPr>
              <w:t>The service provider must comply with the requirements of the Equality Act 2010, and will not treat one group of people less favourably than others because of their age, disability, gender reassignment, marriage and civil partnership, pregnancy and maternity, religion and belief, sex or sexual orientation.</w:t>
            </w:r>
          </w:p>
          <w:p w14:paraId="124BAC42" w14:textId="77777777" w:rsidR="00857E96" w:rsidRPr="00CE4201" w:rsidRDefault="00857E96" w:rsidP="00886CA9">
            <w:pPr>
              <w:rPr>
                <w:rFonts w:cs="Arial"/>
                <w:b/>
                <w:bCs/>
                <w:sz w:val="20"/>
              </w:rPr>
            </w:pPr>
          </w:p>
          <w:p w14:paraId="50332CC6" w14:textId="77777777" w:rsidR="00886CA9" w:rsidRDefault="00886CA9" w:rsidP="00886CA9">
            <w:pPr>
              <w:rPr>
                <w:rFonts w:cs="Arial"/>
                <w:b/>
                <w:bCs/>
                <w:sz w:val="20"/>
              </w:rPr>
            </w:pPr>
            <w:r w:rsidRPr="00CE4201">
              <w:rPr>
                <w:rFonts w:cs="Arial"/>
                <w:b/>
                <w:bCs/>
                <w:sz w:val="20"/>
              </w:rPr>
              <w:t>5.2 Applicable local standards and terms of service</w:t>
            </w:r>
          </w:p>
          <w:p w14:paraId="2A34B2B3" w14:textId="77777777" w:rsidR="00886CA9" w:rsidRPr="0040187C" w:rsidRDefault="00886CA9" w:rsidP="00886CA9">
            <w:pPr>
              <w:pStyle w:val="ListParagraph"/>
              <w:numPr>
                <w:ilvl w:val="0"/>
                <w:numId w:val="19"/>
              </w:numPr>
              <w:rPr>
                <w:rFonts w:cs="Arial"/>
                <w:vanish/>
                <w:sz w:val="20"/>
              </w:rPr>
            </w:pPr>
          </w:p>
          <w:p w14:paraId="330949EB" w14:textId="77777777" w:rsidR="00886CA9" w:rsidRPr="0040187C" w:rsidRDefault="00886CA9" w:rsidP="00886CA9">
            <w:pPr>
              <w:pStyle w:val="ListParagraph"/>
              <w:numPr>
                <w:ilvl w:val="0"/>
                <w:numId w:val="19"/>
              </w:numPr>
              <w:rPr>
                <w:rFonts w:cs="Arial"/>
                <w:vanish/>
                <w:sz w:val="20"/>
              </w:rPr>
            </w:pPr>
          </w:p>
          <w:p w14:paraId="01D60C14" w14:textId="77777777" w:rsidR="00886CA9" w:rsidRPr="0040187C" w:rsidRDefault="00886CA9" w:rsidP="00886CA9">
            <w:pPr>
              <w:pStyle w:val="ListParagraph"/>
              <w:numPr>
                <w:ilvl w:val="1"/>
                <w:numId w:val="19"/>
              </w:numPr>
              <w:rPr>
                <w:rFonts w:cs="Arial"/>
                <w:vanish/>
                <w:sz w:val="20"/>
              </w:rPr>
            </w:pPr>
          </w:p>
          <w:p w14:paraId="7FA764E1" w14:textId="67357DC5" w:rsidR="00886CA9" w:rsidRDefault="00886CA9" w:rsidP="00857E96">
            <w:pPr>
              <w:rPr>
                <w:rFonts w:cs="Arial"/>
                <w:sz w:val="20"/>
              </w:rPr>
            </w:pPr>
            <w:r w:rsidRPr="00857E96">
              <w:rPr>
                <w:rFonts w:cs="Arial"/>
                <w:sz w:val="20"/>
              </w:rPr>
              <w:t>The service provider will operate and provide a service in accordance with this specification unless altered/changed by agreement with the service commissioner.</w:t>
            </w:r>
            <w:r w:rsidR="00DF328B">
              <w:rPr>
                <w:rFonts w:cs="Arial"/>
                <w:sz w:val="20"/>
              </w:rPr>
              <w:t xml:space="preserve"> This will be mutually agreed with the service provider in advance.</w:t>
            </w:r>
          </w:p>
          <w:p w14:paraId="62947B17" w14:textId="77777777" w:rsidR="00857E96" w:rsidRPr="00857E96" w:rsidRDefault="00857E96" w:rsidP="00857E96">
            <w:pPr>
              <w:rPr>
                <w:rFonts w:cs="Arial"/>
                <w:sz w:val="20"/>
              </w:rPr>
            </w:pPr>
          </w:p>
          <w:p w14:paraId="5BA92C80" w14:textId="77777777" w:rsidR="00886CA9" w:rsidRPr="0040187C" w:rsidRDefault="00886CA9" w:rsidP="00886CA9">
            <w:pPr>
              <w:pStyle w:val="ListParagraph"/>
              <w:numPr>
                <w:ilvl w:val="0"/>
                <w:numId w:val="18"/>
              </w:numPr>
              <w:rPr>
                <w:rFonts w:cs="Arial"/>
                <w:vanish/>
                <w:sz w:val="20"/>
              </w:rPr>
            </w:pPr>
          </w:p>
          <w:p w14:paraId="6D133789" w14:textId="77777777" w:rsidR="00886CA9" w:rsidRPr="0040187C" w:rsidRDefault="00886CA9" w:rsidP="00886CA9">
            <w:pPr>
              <w:pStyle w:val="ListParagraph"/>
              <w:numPr>
                <w:ilvl w:val="0"/>
                <w:numId w:val="18"/>
              </w:numPr>
              <w:rPr>
                <w:rFonts w:cs="Arial"/>
                <w:vanish/>
                <w:sz w:val="20"/>
              </w:rPr>
            </w:pPr>
          </w:p>
          <w:p w14:paraId="4B5250B1" w14:textId="77777777" w:rsidR="00886CA9" w:rsidRPr="0040187C" w:rsidRDefault="00886CA9" w:rsidP="00886CA9">
            <w:pPr>
              <w:pStyle w:val="ListParagraph"/>
              <w:numPr>
                <w:ilvl w:val="1"/>
                <w:numId w:val="18"/>
              </w:numPr>
              <w:rPr>
                <w:rFonts w:cs="Arial"/>
                <w:vanish/>
                <w:sz w:val="20"/>
              </w:rPr>
            </w:pPr>
          </w:p>
          <w:p w14:paraId="69B58239" w14:textId="77777777" w:rsidR="00886CA9" w:rsidRPr="0040187C" w:rsidRDefault="00886CA9" w:rsidP="00886CA9">
            <w:pPr>
              <w:pStyle w:val="ListParagraph"/>
              <w:numPr>
                <w:ilvl w:val="2"/>
                <w:numId w:val="18"/>
              </w:numPr>
              <w:rPr>
                <w:rFonts w:cs="Arial"/>
                <w:vanish/>
                <w:sz w:val="20"/>
              </w:rPr>
            </w:pPr>
          </w:p>
          <w:p w14:paraId="53D618D4" w14:textId="00D6E8BC" w:rsidR="00886CA9" w:rsidRDefault="00886CA9" w:rsidP="00857E96">
            <w:pPr>
              <w:rPr>
                <w:rFonts w:cs="Arial"/>
                <w:sz w:val="20"/>
              </w:rPr>
            </w:pPr>
            <w:r w:rsidRPr="00857E96">
              <w:rPr>
                <w:rFonts w:cs="Arial"/>
                <w:sz w:val="20"/>
              </w:rPr>
              <w:t xml:space="preserve">A contract agreement will be signed by the service provider (Head Office in the case of multiples) and will be subject to operational and performance review by Halton Borough Council. </w:t>
            </w:r>
            <w:r w:rsidR="005C1C7C">
              <w:rPr>
                <w:rFonts w:cs="Arial"/>
                <w:sz w:val="20"/>
              </w:rPr>
              <w:t>The service provider</w:t>
            </w:r>
            <w:r w:rsidR="005C1C7C" w:rsidRPr="00CA56DB">
              <w:rPr>
                <w:rFonts w:cs="Arial"/>
                <w:sz w:val="20"/>
              </w:rPr>
              <w:t xml:space="preserve"> will be given advance </w:t>
            </w:r>
            <w:r w:rsidR="005C1C7C">
              <w:rPr>
                <w:rFonts w:cs="Arial"/>
                <w:sz w:val="20"/>
              </w:rPr>
              <w:t xml:space="preserve">written </w:t>
            </w:r>
            <w:r w:rsidR="005C1C7C" w:rsidRPr="00CA56DB">
              <w:rPr>
                <w:rFonts w:cs="Arial"/>
                <w:sz w:val="20"/>
              </w:rPr>
              <w:t>notice of quality assurance visits.</w:t>
            </w:r>
          </w:p>
          <w:p w14:paraId="2835219C" w14:textId="77777777" w:rsidR="00857E96" w:rsidRPr="00857E96" w:rsidRDefault="00857E96" w:rsidP="00857E96">
            <w:pPr>
              <w:rPr>
                <w:rFonts w:cs="Arial"/>
                <w:sz w:val="20"/>
              </w:rPr>
            </w:pPr>
          </w:p>
          <w:p w14:paraId="5783580D" w14:textId="77777777" w:rsidR="00886CA9" w:rsidRDefault="00886CA9" w:rsidP="00857E96">
            <w:pPr>
              <w:rPr>
                <w:rFonts w:cs="Arial"/>
                <w:sz w:val="20"/>
              </w:rPr>
            </w:pPr>
            <w:r w:rsidRPr="00857E96">
              <w:rPr>
                <w:rFonts w:cs="Arial"/>
                <w:sz w:val="20"/>
              </w:rPr>
              <w:t>Locum pharmacists must be prepared and trained to provide the service in accordance with the service specification.</w:t>
            </w:r>
          </w:p>
          <w:p w14:paraId="1DEF996E" w14:textId="77777777" w:rsidR="00857E96" w:rsidRPr="00857E96" w:rsidRDefault="00857E96" w:rsidP="00857E96">
            <w:pPr>
              <w:rPr>
                <w:rFonts w:cs="Arial"/>
                <w:sz w:val="20"/>
              </w:rPr>
            </w:pPr>
          </w:p>
          <w:p w14:paraId="64D5DF29" w14:textId="77777777" w:rsidR="00886CA9" w:rsidRDefault="00886CA9" w:rsidP="00857E96">
            <w:pPr>
              <w:rPr>
                <w:rFonts w:cs="Arial"/>
                <w:sz w:val="20"/>
              </w:rPr>
            </w:pPr>
            <w:r w:rsidRPr="00857E96">
              <w:rPr>
                <w:rFonts w:cs="Arial"/>
                <w:sz w:val="20"/>
              </w:rPr>
              <w:t>Staff involved in the delivery of the service must have a clear understanding of harm reduction and the aims and objectives of the service.</w:t>
            </w:r>
          </w:p>
          <w:p w14:paraId="4BF75491" w14:textId="77777777" w:rsidR="00857E96" w:rsidRPr="00857E96" w:rsidRDefault="00857E96" w:rsidP="00857E96">
            <w:pPr>
              <w:rPr>
                <w:rFonts w:cs="Arial"/>
                <w:sz w:val="20"/>
              </w:rPr>
            </w:pPr>
          </w:p>
          <w:p w14:paraId="3DDE72CC" w14:textId="77777777" w:rsidR="00886CA9" w:rsidRDefault="00886CA9" w:rsidP="00857E96">
            <w:pPr>
              <w:rPr>
                <w:rFonts w:cs="Arial"/>
                <w:sz w:val="20"/>
              </w:rPr>
            </w:pPr>
            <w:r w:rsidRPr="00857E96">
              <w:rPr>
                <w:rFonts w:cs="Arial"/>
                <w:sz w:val="20"/>
              </w:rPr>
              <w:t xml:space="preserve">Staff involved in the delivery of the service must be clear with service users with regards to rules/regulations within that pharmacy and have informed them of the consequences of not adhering to these rules. </w:t>
            </w:r>
          </w:p>
          <w:p w14:paraId="05794B88" w14:textId="6025A105" w:rsidR="00857E96" w:rsidRPr="00857E96" w:rsidRDefault="00857E96" w:rsidP="00857E96">
            <w:pPr>
              <w:rPr>
                <w:rFonts w:cs="Arial"/>
                <w:sz w:val="20"/>
              </w:rPr>
            </w:pPr>
          </w:p>
        </w:tc>
      </w:tr>
      <w:tr w:rsidR="00886CA9" w:rsidRPr="00FA34B0" w14:paraId="55C5B408" w14:textId="77777777" w:rsidTr="006969ED">
        <w:tc>
          <w:tcPr>
            <w:tcW w:w="9016" w:type="dxa"/>
            <w:shd w:val="clear" w:color="auto" w:fill="BFBFBF" w:themeFill="background1" w:themeFillShade="BF"/>
          </w:tcPr>
          <w:p w14:paraId="5A179541" w14:textId="3D46174A" w:rsidR="00886CA9" w:rsidRPr="006969ED" w:rsidRDefault="00886CA9" w:rsidP="00886CA9">
            <w:pPr>
              <w:rPr>
                <w:rFonts w:cs="Arial"/>
                <w:b/>
                <w:bCs/>
                <w:sz w:val="20"/>
              </w:rPr>
            </w:pPr>
            <w:r w:rsidRPr="006969ED">
              <w:rPr>
                <w:rFonts w:cs="Arial"/>
                <w:b/>
                <w:bCs/>
                <w:sz w:val="20"/>
              </w:rPr>
              <w:lastRenderedPageBreak/>
              <w:t>6. Obligations</w:t>
            </w:r>
          </w:p>
        </w:tc>
      </w:tr>
      <w:tr w:rsidR="00886CA9" w:rsidRPr="00FA34B0" w14:paraId="35976E30" w14:textId="77777777" w:rsidTr="001E2E94">
        <w:tc>
          <w:tcPr>
            <w:tcW w:w="9016" w:type="dxa"/>
          </w:tcPr>
          <w:p w14:paraId="23037D71" w14:textId="74E0078A" w:rsidR="00886CA9" w:rsidRPr="006F0CE9" w:rsidRDefault="00886CA9" w:rsidP="00886CA9">
            <w:pPr>
              <w:rPr>
                <w:rFonts w:cs="Arial"/>
                <w:b/>
                <w:bCs/>
                <w:sz w:val="20"/>
              </w:rPr>
            </w:pPr>
            <w:r w:rsidRPr="006F0CE9">
              <w:rPr>
                <w:rFonts w:cs="Arial"/>
                <w:b/>
                <w:bCs/>
                <w:sz w:val="20"/>
              </w:rPr>
              <w:t>6.1 Responsibilities of the service provider</w:t>
            </w:r>
          </w:p>
          <w:p w14:paraId="50FC06C0" w14:textId="77777777" w:rsidR="00886CA9" w:rsidRPr="00DD4963" w:rsidRDefault="00886CA9" w:rsidP="00886CA9">
            <w:pPr>
              <w:tabs>
                <w:tab w:val="left" w:pos="1524"/>
              </w:tabs>
              <w:rPr>
                <w:rFonts w:cs="Arial"/>
                <w:sz w:val="20"/>
              </w:rPr>
            </w:pPr>
            <w:r w:rsidRPr="00DD4963">
              <w:rPr>
                <w:rFonts w:cs="Arial"/>
                <w:sz w:val="20"/>
              </w:rPr>
              <w:t>The area of the pharmacy used for provision of the service must provide a sufficient level of privacy and safety and meet other locally agreed criteria.</w:t>
            </w:r>
          </w:p>
          <w:p w14:paraId="6F9BE019" w14:textId="77777777" w:rsidR="00886CA9" w:rsidRPr="00DD4963" w:rsidRDefault="00886CA9" w:rsidP="00886CA9">
            <w:pPr>
              <w:tabs>
                <w:tab w:val="left" w:pos="1524"/>
              </w:tabs>
              <w:rPr>
                <w:rFonts w:cs="Arial"/>
                <w:sz w:val="20"/>
              </w:rPr>
            </w:pPr>
          </w:p>
          <w:p w14:paraId="49F10296" w14:textId="57A12400" w:rsidR="00886CA9" w:rsidRPr="00DD4963" w:rsidRDefault="00886CA9" w:rsidP="00886CA9">
            <w:pPr>
              <w:tabs>
                <w:tab w:val="left" w:pos="1524"/>
              </w:tabs>
              <w:rPr>
                <w:rFonts w:cs="Arial"/>
                <w:sz w:val="20"/>
              </w:rPr>
            </w:pPr>
            <w:r w:rsidRPr="00DD4963">
              <w:rPr>
                <w:rFonts w:cs="Arial"/>
                <w:sz w:val="20"/>
              </w:rPr>
              <w:t>Participating pharmacies should display the needle exchange unit to show that they operate the service.</w:t>
            </w:r>
            <w:r w:rsidR="00005FF9">
              <w:rPr>
                <w:rFonts w:cs="Arial"/>
                <w:sz w:val="20"/>
              </w:rPr>
              <w:t xml:space="preserve"> This is provided by CGL.</w:t>
            </w:r>
          </w:p>
          <w:p w14:paraId="3DFD16B9" w14:textId="77777777" w:rsidR="00886CA9" w:rsidRPr="00DD4963" w:rsidRDefault="00886CA9" w:rsidP="00886CA9">
            <w:pPr>
              <w:tabs>
                <w:tab w:val="left" w:pos="1524"/>
              </w:tabs>
              <w:rPr>
                <w:rFonts w:cs="Arial"/>
                <w:sz w:val="20"/>
              </w:rPr>
            </w:pPr>
          </w:p>
          <w:p w14:paraId="315D9611" w14:textId="35623EFA" w:rsidR="00886CA9" w:rsidRDefault="00886CA9" w:rsidP="00886CA9">
            <w:pPr>
              <w:tabs>
                <w:tab w:val="left" w:pos="1524"/>
              </w:tabs>
              <w:rPr>
                <w:rFonts w:cs="Arial"/>
                <w:sz w:val="20"/>
              </w:rPr>
            </w:pPr>
            <w:r w:rsidRPr="00DD4963">
              <w:rPr>
                <w:rFonts w:cs="Arial"/>
                <w:sz w:val="20"/>
              </w:rPr>
              <w:t>The service provider has a duty to ensure that staff involved in the provision of the service have relevant knowledge and are appropriately trained in the operation of the service.</w:t>
            </w:r>
          </w:p>
          <w:p w14:paraId="6E52E25D" w14:textId="77777777" w:rsidR="00886CA9" w:rsidRPr="00DD4963" w:rsidRDefault="00886CA9" w:rsidP="00886CA9">
            <w:pPr>
              <w:tabs>
                <w:tab w:val="left" w:pos="1524"/>
              </w:tabs>
              <w:rPr>
                <w:rFonts w:cs="Arial"/>
                <w:sz w:val="20"/>
              </w:rPr>
            </w:pPr>
          </w:p>
          <w:p w14:paraId="7CC301F7" w14:textId="1F0D0244" w:rsidR="00886CA9" w:rsidRPr="00DD4963" w:rsidRDefault="00886CA9" w:rsidP="00886CA9">
            <w:pPr>
              <w:tabs>
                <w:tab w:val="left" w:pos="1524"/>
              </w:tabs>
              <w:rPr>
                <w:rFonts w:cs="Arial"/>
                <w:sz w:val="20"/>
              </w:rPr>
            </w:pPr>
            <w:r w:rsidRPr="00DD4963">
              <w:rPr>
                <w:rFonts w:cs="Arial"/>
                <w:sz w:val="20"/>
              </w:rPr>
              <w:t>The service provider has a duty to ensure that staff involved in the provision of the service are aware of and operate within local protocols, subject to change authorised by Commissioner.</w:t>
            </w:r>
          </w:p>
          <w:p w14:paraId="602F6E6B" w14:textId="77777777" w:rsidR="00886CA9" w:rsidRDefault="00886CA9" w:rsidP="00886CA9">
            <w:pPr>
              <w:tabs>
                <w:tab w:val="left" w:pos="1524"/>
              </w:tabs>
              <w:rPr>
                <w:rFonts w:cs="Arial"/>
                <w:sz w:val="20"/>
              </w:rPr>
            </w:pPr>
          </w:p>
          <w:p w14:paraId="5C6E6FB7" w14:textId="31B4AB63" w:rsidR="00886CA9" w:rsidRPr="00C935D4" w:rsidRDefault="00886CA9" w:rsidP="00886CA9">
            <w:pPr>
              <w:tabs>
                <w:tab w:val="left" w:pos="1524"/>
              </w:tabs>
              <w:rPr>
                <w:rFonts w:cs="Arial"/>
                <w:sz w:val="20"/>
              </w:rPr>
            </w:pPr>
            <w:r w:rsidRPr="005C782A">
              <w:rPr>
                <w:color w:val="000000"/>
                <w:sz w:val="20"/>
              </w:rPr>
              <w:t xml:space="preserve">The </w:t>
            </w:r>
            <w:r w:rsidR="001F5A99">
              <w:rPr>
                <w:color w:val="000000"/>
                <w:sz w:val="20"/>
              </w:rPr>
              <w:t>service provider</w:t>
            </w:r>
            <w:r w:rsidRPr="005C782A">
              <w:rPr>
                <w:color w:val="000000"/>
                <w:sz w:val="20"/>
              </w:rPr>
              <w:t xml:space="preserve"> will ensure that if the pharmacy has locum cover, that the locum pharmacist clearly understands the practices within the Halton footprint on needle and syringe exchange and adheres to the particulars of this specification, </w:t>
            </w:r>
            <w:r w:rsidRPr="005C782A">
              <w:rPr>
                <w:rFonts w:cs="Arial"/>
                <w:sz w:val="20"/>
              </w:rPr>
              <w:t>subject to change authorised by Commissioner.</w:t>
            </w:r>
          </w:p>
          <w:p w14:paraId="13C0A6A9" w14:textId="77777777" w:rsidR="00886CA9" w:rsidRPr="00DD4963" w:rsidRDefault="00886CA9" w:rsidP="00886CA9">
            <w:pPr>
              <w:tabs>
                <w:tab w:val="left" w:pos="1524"/>
              </w:tabs>
              <w:rPr>
                <w:rFonts w:cs="Arial"/>
                <w:sz w:val="20"/>
              </w:rPr>
            </w:pPr>
          </w:p>
          <w:p w14:paraId="60C65970" w14:textId="77777777" w:rsidR="00886CA9" w:rsidRPr="00DD4963" w:rsidRDefault="00886CA9" w:rsidP="00886CA9">
            <w:pPr>
              <w:tabs>
                <w:tab w:val="left" w:pos="1524"/>
              </w:tabs>
              <w:rPr>
                <w:rFonts w:cs="Arial"/>
                <w:sz w:val="20"/>
              </w:rPr>
            </w:pPr>
            <w:r w:rsidRPr="00DD4963">
              <w:rPr>
                <w:rFonts w:cs="Arial"/>
                <w:sz w:val="20"/>
              </w:rPr>
              <w:t>The service provider should ensure that their staff are made aware of the risk associated with the handling of returned used equipment and the correct procedures used to minimise those risks. A needle stick injury procedure should be in place.</w:t>
            </w:r>
            <w:r w:rsidRPr="00DD4963">
              <w:rPr>
                <w:rFonts w:cs="Arial"/>
                <w:sz w:val="20"/>
              </w:rPr>
              <w:tab/>
            </w:r>
          </w:p>
          <w:p w14:paraId="346218CC" w14:textId="77777777" w:rsidR="00886CA9" w:rsidRPr="00DD4963" w:rsidRDefault="00886CA9" w:rsidP="00886CA9">
            <w:pPr>
              <w:tabs>
                <w:tab w:val="left" w:pos="1524"/>
              </w:tabs>
              <w:rPr>
                <w:rFonts w:cs="Arial"/>
                <w:sz w:val="20"/>
              </w:rPr>
            </w:pPr>
          </w:p>
          <w:p w14:paraId="325E0E4C" w14:textId="77777777" w:rsidR="00886CA9" w:rsidRPr="00DD4963" w:rsidRDefault="00886CA9" w:rsidP="00886CA9">
            <w:pPr>
              <w:tabs>
                <w:tab w:val="left" w:pos="1524"/>
              </w:tabs>
              <w:rPr>
                <w:rFonts w:cs="Arial"/>
                <w:sz w:val="20"/>
              </w:rPr>
            </w:pPr>
            <w:r w:rsidRPr="00DD4963">
              <w:rPr>
                <w:rFonts w:cs="Arial"/>
                <w:sz w:val="20"/>
              </w:rPr>
              <w:t>The service provider should maintain appropriate records to ensure effective ongoing service delivery and audit.</w:t>
            </w:r>
          </w:p>
          <w:p w14:paraId="5D573853" w14:textId="77777777" w:rsidR="00886CA9" w:rsidRPr="00DD4963" w:rsidRDefault="00886CA9" w:rsidP="00886CA9">
            <w:pPr>
              <w:tabs>
                <w:tab w:val="left" w:pos="1524"/>
              </w:tabs>
              <w:rPr>
                <w:rFonts w:cs="Arial"/>
                <w:sz w:val="20"/>
              </w:rPr>
            </w:pPr>
          </w:p>
          <w:p w14:paraId="7618A343" w14:textId="77777777" w:rsidR="00886CA9" w:rsidRPr="00DD4963" w:rsidRDefault="00886CA9" w:rsidP="00886CA9">
            <w:pPr>
              <w:tabs>
                <w:tab w:val="left" w:pos="1524"/>
              </w:tabs>
              <w:rPr>
                <w:rFonts w:cs="Arial"/>
                <w:sz w:val="20"/>
              </w:rPr>
            </w:pPr>
            <w:r w:rsidRPr="00DD4963">
              <w:rPr>
                <w:rFonts w:cs="Arial"/>
                <w:sz w:val="20"/>
              </w:rPr>
              <w:t>Appropriate protective equipment, including gloves, overalls and materials to deal with spillages, should be readily available close to the storage site.</w:t>
            </w:r>
          </w:p>
          <w:p w14:paraId="07A508E2" w14:textId="77777777" w:rsidR="00886CA9" w:rsidRPr="00DD4963" w:rsidRDefault="00886CA9" w:rsidP="00886CA9">
            <w:pPr>
              <w:tabs>
                <w:tab w:val="left" w:pos="1524"/>
              </w:tabs>
              <w:rPr>
                <w:rFonts w:cs="Arial"/>
                <w:sz w:val="20"/>
              </w:rPr>
            </w:pPr>
          </w:p>
          <w:p w14:paraId="6152783A" w14:textId="77777777" w:rsidR="00886CA9" w:rsidRPr="00DD4963" w:rsidRDefault="00886CA9" w:rsidP="00886CA9">
            <w:pPr>
              <w:tabs>
                <w:tab w:val="left" w:pos="1524"/>
              </w:tabs>
              <w:rPr>
                <w:rFonts w:cs="Arial"/>
                <w:sz w:val="20"/>
              </w:rPr>
            </w:pPr>
            <w:r w:rsidRPr="00DD4963">
              <w:rPr>
                <w:rFonts w:cs="Arial"/>
                <w:sz w:val="20"/>
              </w:rPr>
              <w:t xml:space="preserve">Staff involved in the delivery of this service should be offered immunisation for Hepatitis B. </w:t>
            </w:r>
          </w:p>
          <w:p w14:paraId="33DB36C4" w14:textId="77777777" w:rsidR="00886CA9" w:rsidRPr="00DD4963" w:rsidRDefault="00886CA9" w:rsidP="00886CA9">
            <w:pPr>
              <w:tabs>
                <w:tab w:val="left" w:pos="1524"/>
              </w:tabs>
              <w:rPr>
                <w:rFonts w:cs="Arial"/>
                <w:sz w:val="20"/>
              </w:rPr>
            </w:pPr>
          </w:p>
          <w:p w14:paraId="7BD0D40B" w14:textId="739D2954" w:rsidR="00886CA9" w:rsidRPr="00DD4963" w:rsidRDefault="00743E87" w:rsidP="00886CA9">
            <w:pPr>
              <w:tabs>
                <w:tab w:val="left" w:pos="1524"/>
              </w:tabs>
              <w:rPr>
                <w:rFonts w:cs="Arial"/>
                <w:sz w:val="20"/>
              </w:rPr>
            </w:pPr>
            <w:r>
              <w:rPr>
                <w:rFonts w:cs="Arial"/>
                <w:sz w:val="20"/>
              </w:rPr>
              <w:t>Staff</w:t>
            </w:r>
            <w:r w:rsidR="00886CA9" w:rsidRPr="00DD4963">
              <w:rPr>
                <w:rFonts w:cs="Arial"/>
                <w:sz w:val="20"/>
              </w:rPr>
              <w:t xml:space="preserve"> will share relevant information with other health care professionals and agencies, in line with locally determined confidentiality arrangements.</w:t>
            </w:r>
          </w:p>
          <w:p w14:paraId="156397D8" w14:textId="77777777" w:rsidR="00886CA9" w:rsidRPr="00DD4963" w:rsidRDefault="00886CA9" w:rsidP="00886CA9">
            <w:pPr>
              <w:tabs>
                <w:tab w:val="left" w:pos="1524"/>
              </w:tabs>
              <w:rPr>
                <w:rFonts w:cs="Arial"/>
                <w:sz w:val="20"/>
              </w:rPr>
            </w:pPr>
          </w:p>
          <w:p w14:paraId="28C4F809" w14:textId="77777777" w:rsidR="00886CA9" w:rsidRPr="00DD4963" w:rsidRDefault="00886CA9" w:rsidP="00886CA9">
            <w:pPr>
              <w:tabs>
                <w:tab w:val="left" w:pos="1524"/>
              </w:tabs>
              <w:rPr>
                <w:rFonts w:cs="Arial"/>
                <w:sz w:val="20"/>
              </w:rPr>
            </w:pPr>
            <w:r w:rsidRPr="00DD4963">
              <w:rPr>
                <w:rFonts w:cs="Arial"/>
                <w:sz w:val="20"/>
              </w:rPr>
              <w:t xml:space="preserve">Issues of 1ml, 2ml or 5ml packs will be made free of charge from participating pharmacies. </w:t>
            </w:r>
          </w:p>
          <w:p w14:paraId="276C3E73" w14:textId="77777777" w:rsidR="00886CA9" w:rsidRPr="00DD4963" w:rsidRDefault="00886CA9" w:rsidP="00886CA9">
            <w:pPr>
              <w:tabs>
                <w:tab w:val="left" w:pos="1524"/>
              </w:tabs>
              <w:rPr>
                <w:rFonts w:cs="Arial"/>
                <w:sz w:val="20"/>
              </w:rPr>
            </w:pPr>
          </w:p>
          <w:p w14:paraId="7EA478B2" w14:textId="77777777" w:rsidR="00886CA9" w:rsidRPr="00DD4963" w:rsidRDefault="00886CA9" w:rsidP="00886CA9">
            <w:pPr>
              <w:tabs>
                <w:tab w:val="left" w:pos="1524"/>
              </w:tabs>
              <w:rPr>
                <w:rFonts w:cs="Arial"/>
                <w:sz w:val="20"/>
              </w:rPr>
            </w:pPr>
            <w:r w:rsidRPr="00DD4963">
              <w:rPr>
                <w:rFonts w:cs="Arial"/>
                <w:sz w:val="20"/>
              </w:rPr>
              <w:t>All clients of the scheme will be offered and supplied with appropriate personal sharp containers and instructed to use these for the return of used equipment. (Please refer to ‘no returns’ guidance).</w:t>
            </w:r>
          </w:p>
          <w:p w14:paraId="06B74A57" w14:textId="77777777" w:rsidR="00886CA9" w:rsidRPr="00DD4963" w:rsidRDefault="00886CA9" w:rsidP="00886CA9">
            <w:pPr>
              <w:tabs>
                <w:tab w:val="left" w:pos="1524"/>
              </w:tabs>
              <w:rPr>
                <w:rFonts w:cs="Arial"/>
                <w:sz w:val="20"/>
              </w:rPr>
            </w:pPr>
          </w:p>
          <w:p w14:paraId="40ABA0E1" w14:textId="77777777" w:rsidR="00886CA9" w:rsidRPr="00DD4963" w:rsidRDefault="00886CA9" w:rsidP="00886CA9">
            <w:pPr>
              <w:tabs>
                <w:tab w:val="left" w:pos="1524"/>
              </w:tabs>
              <w:rPr>
                <w:rFonts w:cs="Arial"/>
                <w:sz w:val="20"/>
              </w:rPr>
            </w:pPr>
            <w:r w:rsidRPr="00DD4963">
              <w:rPr>
                <w:rFonts w:cs="Arial"/>
                <w:sz w:val="20"/>
              </w:rPr>
              <w:t>Returns should be received in Personal Sharps Containers from the client. These are to be placed in an approved sharps bin in a designated area of the pharmacy, not being in the dispensary or shop public area.</w:t>
            </w:r>
          </w:p>
          <w:p w14:paraId="1347B733" w14:textId="77777777" w:rsidR="00886CA9" w:rsidRPr="00DD4963" w:rsidRDefault="00886CA9" w:rsidP="00886CA9">
            <w:pPr>
              <w:tabs>
                <w:tab w:val="left" w:pos="1524"/>
              </w:tabs>
              <w:rPr>
                <w:rFonts w:cs="Arial"/>
                <w:sz w:val="20"/>
              </w:rPr>
            </w:pPr>
          </w:p>
          <w:p w14:paraId="174643E1" w14:textId="016A50CB" w:rsidR="00886CA9" w:rsidRPr="00DD4963" w:rsidRDefault="00886CA9" w:rsidP="00886CA9">
            <w:pPr>
              <w:tabs>
                <w:tab w:val="left" w:pos="1524"/>
              </w:tabs>
              <w:rPr>
                <w:rFonts w:cs="Arial"/>
                <w:sz w:val="20"/>
              </w:rPr>
            </w:pPr>
            <w:r w:rsidRPr="00DD4963">
              <w:rPr>
                <w:rFonts w:cs="Arial"/>
                <w:sz w:val="20"/>
              </w:rPr>
              <w:t xml:space="preserve">In exceptional circumstances when clients return unprotected equipment, the client under the personal supervision of the </w:t>
            </w:r>
            <w:r w:rsidR="00E92638">
              <w:rPr>
                <w:rFonts w:cs="Arial"/>
                <w:sz w:val="20"/>
              </w:rPr>
              <w:t xml:space="preserve">pharmacy staff </w:t>
            </w:r>
            <w:r w:rsidRPr="00DD4963">
              <w:rPr>
                <w:rFonts w:cs="Arial"/>
                <w:sz w:val="20"/>
              </w:rPr>
              <w:t>should place this into an appropriate sharps container in the pharmacy.</w:t>
            </w:r>
          </w:p>
          <w:p w14:paraId="7DA6D2B2" w14:textId="77777777" w:rsidR="00886CA9" w:rsidRPr="00DD4963" w:rsidRDefault="00886CA9" w:rsidP="00886CA9">
            <w:pPr>
              <w:tabs>
                <w:tab w:val="left" w:pos="1524"/>
              </w:tabs>
              <w:rPr>
                <w:rFonts w:cs="Arial"/>
                <w:sz w:val="20"/>
              </w:rPr>
            </w:pPr>
            <w:r w:rsidRPr="00DD4963">
              <w:rPr>
                <w:rFonts w:cs="Arial"/>
                <w:sz w:val="20"/>
              </w:rPr>
              <w:t>Service providers will keep records consistent with the Confidential Monitoring Data Proforma.</w:t>
            </w:r>
          </w:p>
          <w:p w14:paraId="59B1A527" w14:textId="77777777" w:rsidR="00886CA9" w:rsidRPr="00DD4963" w:rsidRDefault="00886CA9" w:rsidP="00886CA9">
            <w:pPr>
              <w:tabs>
                <w:tab w:val="left" w:pos="1524"/>
              </w:tabs>
              <w:rPr>
                <w:rFonts w:cs="Arial"/>
                <w:sz w:val="20"/>
              </w:rPr>
            </w:pPr>
            <w:r w:rsidRPr="00DD4963">
              <w:rPr>
                <w:rFonts w:cs="Arial"/>
                <w:sz w:val="20"/>
              </w:rPr>
              <w:t>The service provider will maintain a signposting file which contains contact details for relevant services and suppliers, referral forms, health promotion leaflets and other information relevant to the delivery of the service including advice on safer injecting and identification of injection site wounds etc.</w:t>
            </w:r>
          </w:p>
          <w:p w14:paraId="0F19AB07" w14:textId="77777777" w:rsidR="00886CA9" w:rsidRDefault="00886CA9" w:rsidP="00886CA9">
            <w:pPr>
              <w:rPr>
                <w:rFonts w:cs="Arial"/>
                <w:sz w:val="20"/>
              </w:rPr>
            </w:pPr>
          </w:p>
          <w:p w14:paraId="66C2E78F" w14:textId="77777777" w:rsidR="00886CA9" w:rsidRPr="00DD4963" w:rsidRDefault="00886CA9" w:rsidP="00886CA9">
            <w:pPr>
              <w:tabs>
                <w:tab w:val="left" w:pos="1524"/>
              </w:tabs>
              <w:rPr>
                <w:rFonts w:cs="Arial"/>
                <w:sz w:val="20"/>
              </w:rPr>
            </w:pPr>
            <w:r w:rsidRPr="00DD4963">
              <w:rPr>
                <w:rFonts w:cs="Arial"/>
                <w:sz w:val="20"/>
              </w:rPr>
              <w:t>Service providers are encouraged to appoint a member of staff to act as a Substance Misuse champion who will take the lead for stock control, invoicing, managing waste, maintaining the signposting file, attending training courses and training and supporting new staff and locums in the delivery of the service.</w:t>
            </w:r>
          </w:p>
          <w:p w14:paraId="5FCC0B41" w14:textId="77777777" w:rsidR="00EB4646" w:rsidRDefault="00EB4646" w:rsidP="00886CA9">
            <w:pPr>
              <w:tabs>
                <w:tab w:val="left" w:pos="1524"/>
              </w:tabs>
              <w:rPr>
                <w:rFonts w:cs="Arial"/>
                <w:sz w:val="20"/>
              </w:rPr>
            </w:pPr>
          </w:p>
          <w:p w14:paraId="46CC9CA6" w14:textId="75174B6C" w:rsidR="00673E68" w:rsidRPr="00CE4201" w:rsidRDefault="00673E68" w:rsidP="00673E68">
            <w:pPr>
              <w:rPr>
                <w:rFonts w:cs="Arial"/>
                <w:b/>
                <w:bCs/>
                <w:sz w:val="20"/>
              </w:rPr>
            </w:pPr>
            <w:r w:rsidRPr="00CE4201">
              <w:rPr>
                <w:rFonts w:cs="Arial"/>
                <w:b/>
                <w:bCs/>
                <w:sz w:val="20"/>
              </w:rPr>
              <w:t>6.</w:t>
            </w:r>
            <w:r>
              <w:rPr>
                <w:rFonts w:cs="Arial"/>
                <w:b/>
                <w:bCs/>
                <w:sz w:val="20"/>
              </w:rPr>
              <w:t>1.1</w:t>
            </w:r>
            <w:r w:rsidRPr="00CE4201">
              <w:rPr>
                <w:rFonts w:cs="Arial"/>
                <w:b/>
                <w:bCs/>
                <w:sz w:val="20"/>
              </w:rPr>
              <w:t xml:space="preserve"> Professional responsibility</w:t>
            </w:r>
          </w:p>
          <w:p w14:paraId="32A25C8E" w14:textId="583F4F30" w:rsidR="00673E68" w:rsidRPr="00DD4963" w:rsidRDefault="00673E68" w:rsidP="00673E68">
            <w:pPr>
              <w:contextualSpacing/>
              <w:rPr>
                <w:rFonts w:cs="Arial"/>
                <w:sz w:val="20"/>
              </w:rPr>
            </w:pPr>
            <w:r w:rsidRPr="00DD4963">
              <w:rPr>
                <w:rFonts w:cs="Arial"/>
                <w:sz w:val="20"/>
              </w:rPr>
              <w:t xml:space="preserve">All </w:t>
            </w:r>
            <w:r w:rsidR="00A542C8">
              <w:rPr>
                <w:rFonts w:cs="Arial"/>
                <w:sz w:val="20"/>
              </w:rPr>
              <w:t xml:space="preserve">pharmacy staff </w:t>
            </w:r>
            <w:r w:rsidRPr="00DD4963">
              <w:rPr>
                <w:rFonts w:cs="Arial"/>
                <w:sz w:val="20"/>
              </w:rPr>
              <w:t>involved in providing this service must adhere to their professional code of conduct and at no point does this service abrogate their professional responsibility, professional judgement must be used at all times.</w:t>
            </w:r>
          </w:p>
          <w:p w14:paraId="19C57BAB" w14:textId="77777777" w:rsidR="00673E68" w:rsidRPr="00DD4963" w:rsidRDefault="00673E68" w:rsidP="00673E68">
            <w:pPr>
              <w:contextualSpacing/>
              <w:rPr>
                <w:rFonts w:cs="Arial"/>
                <w:sz w:val="20"/>
              </w:rPr>
            </w:pPr>
          </w:p>
          <w:p w14:paraId="48261EEB" w14:textId="77777777" w:rsidR="00673E68" w:rsidRPr="00DD4963" w:rsidRDefault="00673E68" w:rsidP="00673E68">
            <w:pPr>
              <w:contextualSpacing/>
              <w:rPr>
                <w:rFonts w:cs="Arial"/>
                <w:sz w:val="20"/>
              </w:rPr>
            </w:pPr>
            <w:r w:rsidRPr="00DD4963">
              <w:rPr>
                <w:rFonts w:cs="Arial"/>
                <w:sz w:val="20"/>
              </w:rPr>
              <w:t>It is the professional’s responsibility to practice only within the bounds of their own competence.</w:t>
            </w:r>
          </w:p>
          <w:p w14:paraId="797D085E" w14:textId="77777777" w:rsidR="00673E68" w:rsidRPr="00DD4963" w:rsidRDefault="00673E68" w:rsidP="00673E68">
            <w:pPr>
              <w:contextualSpacing/>
              <w:rPr>
                <w:rFonts w:cs="Arial"/>
                <w:sz w:val="20"/>
              </w:rPr>
            </w:pPr>
          </w:p>
          <w:p w14:paraId="4CB6E6AC" w14:textId="77777777" w:rsidR="00673E68" w:rsidRDefault="00673E68" w:rsidP="00673E68">
            <w:pPr>
              <w:rPr>
                <w:rFonts w:cs="Arial"/>
                <w:sz w:val="20"/>
              </w:rPr>
            </w:pPr>
            <w:r w:rsidRPr="00DD4963">
              <w:rPr>
                <w:rFonts w:cs="Arial"/>
                <w:sz w:val="20"/>
              </w:rPr>
              <w:t xml:space="preserve">The responsible pharmacist on each given day has overall responsibility for ensuring the service is delivered in accordance with this service specification. </w:t>
            </w:r>
          </w:p>
          <w:p w14:paraId="248FF8EC" w14:textId="77777777" w:rsidR="00857E96" w:rsidRDefault="00857E96" w:rsidP="00886CA9">
            <w:pPr>
              <w:tabs>
                <w:tab w:val="left" w:pos="1524"/>
              </w:tabs>
              <w:rPr>
                <w:rFonts w:cs="Arial"/>
                <w:sz w:val="20"/>
              </w:rPr>
            </w:pPr>
          </w:p>
          <w:p w14:paraId="79C21F1D" w14:textId="1B9D397D" w:rsidR="00B075C5" w:rsidRPr="00CE4201" w:rsidRDefault="00B075C5" w:rsidP="00B075C5">
            <w:pPr>
              <w:rPr>
                <w:rFonts w:cs="Arial"/>
                <w:b/>
                <w:bCs/>
                <w:sz w:val="20"/>
              </w:rPr>
            </w:pPr>
            <w:r w:rsidRPr="00CE4201">
              <w:rPr>
                <w:rFonts w:cs="Arial"/>
                <w:b/>
                <w:bCs/>
                <w:sz w:val="20"/>
              </w:rPr>
              <w:t>6.1.</w:t>
            </w:r>
            <w:r>
              <w:rPr>
                <w:rFonts w:cs="Arial"/>
                <w:b/>
                <w:bCs/>
                <w:sz w:val="20"/>
              </w:rPr>
              <w:t>2</w:t>
            </w:r>
            <w:r w:rsidRPr="00CE4201">
              <w:rPr>
                <w:rFonts w:cs="Arial"/>
                <w:b/>
                <w:bCs/>
                <w:sz w:val="20"/>
              </w:rPr>
              <w:t xml:space="preserve"> Standard Operating Procedures</w:t>
            </w:r>
          </w:p>
          <w:p w14:paraId="2730A0C2" w14:textId="77777777" w:rsidR="00B075C5" w:rsidRDefault="00B075C5" w:rsidP="00B075C5">
            <w:pPr>
              <w:rPr>
                <w:rFonts w:cs="Arial"/>
                <w:sz w:val="20"/>
              </w:rPr>
            </w:pPr>
            <w:r w:rsidRPr="00DD4963">
              <w:rPr>
                <w:rFonts w:cs="Arial"/>
                <w:sz w:val="20"/>
              </w:rPr>
              <w:t>The service provider will develop a Standard Operating Procedure (SOP) which specifically details the operational delivery of this service.</w:t>
            </w:r>
          </w:p>
          <w:p w14:paraId="0F940AD2" w14:textId="77777777" w:rsidR="00B075C5" w:rsidRPr="00DD4963" w:rsidRDefault="00B075C5" w:rsidP="00B075C5">
            <w:pPr>
              <w:rPr>
                <w:rFonts w:cs="Arial"/>
                <w:sz w:val="20"/>
              </w:rPr>
            </w:pPr>
          </w:p>
          <w:p w14:paraId="3D6FD3AF" w14:textId="77777777" w:rsidR="00B075C5" w:rsidRDefault="00B075C5" w:rsidP="00B075C5">
            <w:pPr>
              <w:rPr>
                <w:rFonts w:cs="Arial"/>
                <w:sz w:val="20"/>
              </w:rPr>
            </w:pPr>
            <w:r w:rsidRPr="00DD4963">
              <w:rPr>
                <w:rFonts w:cs="Arial"/>
                <w:sz w:val="20"/>
              </w:rPr>
              <w:t>The service provider must ensure that all staff including those other than pharmacists, involved in the provision of the service, have relevant knowledge, are appropriately trained and operate within the SOP, this includes sensitive client centred communication skills.</w:t>
            </w:r>
          </w:p>
          <w:p w14:paraId="0618BFA9" w14:textId="77777777" w:rsidR="00B075C5" w:rsidRPr="00DD4963" w:rsidRDefault="00B075C5" w:rsidP="00B075C5">
            <w:pPr>
              <w:rPr>
                <w:rFonts w:cs="Arial"/>
                <w:sz w:val="20"/>
              </w:rPr>
            </w:pPr>
          </w:p>
          <w:p w14:paraId="3F2E911B" w14:textId="77777777" w:rsidR="00715598" w:rsidRDefault="00B075C5" w:rsidP="00715598">
            <w:pPr>
              <w:suppressAutoHyphens w:val="0"/>
              <w:jc w:val="left"/>
              <w:rPr>
                <w:rFonts w:ascii="Times New Roman" w:eastAsiaTheme="minorHAnsi" w:hAnsi="Times New Roman"/>
                <w:szCs w:val="24"/>
                <w:lang w:eastAsia="en-GB"/>
              </w:rPr>
            </w:pPr>
            <w:r w:rsidRPr="00DD4963">
              <w:rPr>
                <w:rFonts w:cs="Arial"/>
                <w:sz w:val="20"/>
              </w:rPr>
              <w:t xml:space="preserve">The SOP will be reviewed at least every two years or before if circumstances dictate. Each review should be documented and the SOP/protocol subject to version control. </w:t>
            </w:r>
            <w:r w:rsidR="00715598" w:rsidRPr="00715598">
              <w:rPr>
                <w:rFonts w:cs="Arial"/>
                <w:sz w:val="20"/>
              </w:rPr>
              <w:t xml:space="preserve">Staff delivering the service must be trained in the SOP and a training record held by the provider. </w:t>
            </w:r>
          </w:p>
          <w:p w14:paraId="7E7D7D20" w14:textId="78818395" w:rsidR="00B075C5" w:rsidRDefault="00B075C5" w:rsidP="00B075C5">
            <w:pPr>
              <w:rPr>
                <w:rFonts w:cs="Arial"/>
                <w:sz w:val="20"/>
              </w:rPr>
            </w:pPr>
          </w:p>
          <w:p w14:paraId="2F362073" w14:textId="77777777" w:rsidR="00B075C5" w:rsidRPr="00DD4963" w:rsidRDefault="00B075C5" w:rsidP="00B075C5">
            <w:pPr>
              <w:rPr>
                <w:rFonts w:cs="Arial"/>
                <w:sz w:val="20"/>
              </w:rPr>
            </w:pPr>
          </w:p>
          <w:p w14:paraId="4A879DF0" w14:textId="77777777" w:rsidR="00B075C5" w:rsidRDefault="00B075C5" w:rsidP="00B075C5">
            <w:pPr>
              <w:rPr>
                <w:rFonts w:cs="Arial"/>
                <w:sz w:val="20"/>
              </w:rPr>
            </w:pPr>
            <w:r w:rsidRPr="00DD4963">
              <w:rPr>
                <w:rFonts w:cs="Arial"/>
                <w:sz w:val="20"/>
              </w:rPr>
              <w:t>Changes to procedure must be highlighted within the SOP for special attention.</w:t>
            </w:r>
          </w:p>
          <w:p w14:paraId="4FC2E8F0" w14:textId="77777777" w:rsidR="00B075C5" w:rsidRDefault="00B075C5" w:rsidP="00B075C5">
            <w:pPr>
              <w:rPr>
                <w:rFonts w:cs="Arial"/>
                <w:sz w:val="20"/>
              </w:rPr>
            </w:pPr>
          </w:p>
          <w:p w14:paraId="036F167C" w14:textId="77777777" w:rsidR="00B075C5" w:rsidRDefault="00B075C5" w:rsidP="00B075C5">
            <w:pPr>
              <w:rPr>
                <w:rFonts w:cs="Arial"/>
                <w:sz w:val="20"/>
              </w:rPr>
            </w:pPr>
            <w:r w:rsidRPr="00DD4963">
              <w:rPr>
                <w:rFonts w:cs="Arial"/>
                <w:sz w:val="20"/>
              </w:rPr>
              <w:t xml:space="preserve">The service contractor must ensure that there are systems in place to make locum pharmacists aware of the enhanced service. </w:t>
            </w:r>
          </w:p>
          <w:p w14:paraId="57BE379C" w14:textId="77777777" w:rsidR="00B075C5" w:rsidRDefault="00B075C5" w:rsidP="00B075C5">
            <w:pPr>
              <w:suppressAutoHyphens w:val="0"/>
              <w:spacing w:after="200" w:line="276" w:lineRule="auto"/>
              <w:contextualSpacing/>
              <w:rPr>
                <w:rFonts w:cs="Arial"/>
                <w:sz w:val="20"/>
              </w:rPr>
            </w:pPr>
          </w:p>
          <w:p w14:paraId="20C6DD82" w14:textId="3F26879C" w:rsidR="00E31F3C" w:rsidRPr="00E31F3C" w:rsidRDefault="00B075C5" w:rsidP="00E31F3C">
            <w:pPr>
              <w:tabs>
                <w:tab w:val="left" w:pos="1524"/>
              </w:tabs>
              <w:suppressAutoHyphens w:val="0"/>
              <w:jc w:val="left"/>
              <w:rPr>
                <w:rFonts w:ascii="Calibri" w:hAnsi="Calibri" w:cs="Arial"/>
                <w:sz w:val="20"/>
              </w:rPr>
            </w:pPr>
            <w:r w:rsidRPr="00812EED">
              <w:rPr>
                <w:rFonts w:cs="Arial"/>
                <w:sz w:val="20"/>
              </w:rPr>
              <w:t xml:space="preserve">Locum pharmacists </w:t>
            </w:r>
            <w:r w:rsidR="00812EED" w:rsidRPr="00812EED">
              <w:rPr>
                <w:rFonts w:cs="Arial"/>
                <w:sz w:val="20"/>
              </w:rPr>
              <w:t xml:space="preserve">and trained staff should </w:t>
            </w:r>
            <w:r w:rsidRPr="00812EED">
              <w:rPr>
                <w:rFonts w:cs="Arial"/>
                <w:sz w:val="20"/>
              </w:rPr>
              <w:t xml:space="preserve">operate under the same procedures and protocols as </w:t>
            </w:r>
            <w:r w:rsidR="00812EED" w:rsidRPr="00812EED">
              <w:rPr>
                <w:rFonts w:cs="Arial"/>
                <w:sz w:val="20"/>
              </w:rPr>
              <w:t xml:space="preserve">a pharmacist </w:t>
            </w:r>
            <w:r w:rsidRPr="00812EED">
              <w:rPr>
                <w:rFonts w:cs="Arial"/>
                <w:sz w:val="20"/>
              </w:rPr>
              <w:t>and must have completed the appropriate training to deliver this service.</w:t>
            </w:r>
            <w:r w:rsidRPr="00E31F3C">
              <w:rPr>
                <w:rFonts w:cs="Arial"/>
                <w:sz w:val="20"/>
              </w:rPr>
              <w:t xml:space="preserve"> </w:t>
            </w:r>
          </w:p>
          <w:p w14:paraId="37684E17" w14:textId="082C918E" w:rsidR="00B075C5" w:rsidRDefault="00B075C5" w:rsidP="00B075C5">
            <w:pPr>
              <w:rPr>
                <w:rFonts w:cs="Arial"/>
                <w:sz w:val="20"/>
              </w:rPr>
            </w:pPr>
          </w:p>
          <w:p w14:paraId="5BBCF2CD" w14:textId="77777777" w:rsidR="00857E96" w:rsidRDefault="00857E96" w:rsidP="00B075C5">
            <w:pPr>
              <w:rPr>
                <w:rFonts w:cs="Arial"/>
                <w:sz w:val="20"/>
              </w:rPr>
            </w:pPr>
          </w:p>
          <w:p w14:paraId="717983AA" w14:textId="77777777" w:rsidR="00231724" w:rsidRDefault="00231724" w:rsidP="00B075C5">
            <w:pPr>
              <w:rPr>
                <w:rFonts w:cs="Arial"/>
                <w:sz w:val="20"/>
              </w:rPr>
            </w:pPr>
          </w:p>
          <w:p w14:paraId="1038B56B" w14:textId="403089C9" w:rsidR="00857E96" w:rsidRDefault="00857E96" w:rsidP="00857E96">
            <w:pPr>
              <w:rPr>
                <w:rFonts w:cs="Arial"/>
                <w:b/>
                <w:bCs/>
                <w:sz w:val="20"/>
              </w:rPr>
            </w:pPr>
            <w:r w:rsidRPr="00CE4201">
              <w:rPr>
                <w:rFonts w:cs="Arial"/>
                <w:b/>
                <w:bCs/>
                <w:sz w:val="20"/>
              </w:rPr>
              <w:lastRenderedPageBreak/>
              <w:t>6.</w:t>
            </w:r>
            <w:r>
              <w:rPr>
                <w:rFonts w:cs="Arial"/>
                <w:b/>
                <w:bCs/>
                <w:sz w:val="20"/>
              </w:rPr>
              <w:t xml:space="preserve">1.3 </w:t>
            </w:r>
            <w:r w:rsidRPr="00CE4201">
              <w:rPr>
                <w:rFonts w:cs="Arial"/>
                <w:b/>
                <w:bCs/>
                <w:sz w:val="20"/>
              </w:rPr>
              <w:t>Service provision and continuity</w:t>
            </w:r>
          </w:p>
          <w:p w14:paraId="702BD6FF" w14:textId="4A541E35" w:rsidR="00857E96" w:rsidRDefault="00857E96" w:rsidP="000A025C">
            <w:pPr>
              <w:contextualSpacing/>
              <w:rPr>
                <w:rFonts w:cs="Arial"/>
                <w:sz w:val="20"/>
              </w:rPr>
            </w:pPr>
            <w:r w:rsidRPr="00DD4963">
              <w:rPr>
                <w:rFonts w:cs="Arial"/>
                <w:sz w:val="20"/>
              </w:rPr>
              <w:t xml:space="preserve">It is the responsibility of the service provider to have a process in place which ensures that all new staff and locums are aware of all enhanced services provided by the </w:t>
            </w:r>
            <w:r w:rsidR="002C36F2">
              <w:rPr>
                <w:rFonts w:cs="Arial"/>
                <w:sz w:val="20"/>
              </w:rPr>
              <w:t>service provider</w:t>
            </w:r>
            <w:r w:rsidRPr="00DD4963">
              <w:rPr>
                <w:rFonts w:cs="Arial"/>
                <w:sz w:val="20"/>
              </w:rPr>
              <w:t xml:space="preserve"> and commissioned by HBC and must maintain continuity of service during and after staff changes.</w:t>
            </w:r>
          </w:p>
          <w:p w14:paraId="03489447" w14:textId="77777777" w:rsidR="00B753CE" w:rsidRDefault="00B753CE" w:rsidP="00886CA9">
            <w:pPr>
              <w:tabs>
                <w:tab w:val="left" w:pos="1524"/>
              </w:tabs>
              <w:rPr>
                <w:rFonts w:cs="Arial"/>
                <w:sz w:val="20"/>
              </w:rPr>
            </w:pPr>
          </w:p>
          <w:p w14:paraId="6683B38E" w14:textId="5815EE63" w:rsidR="00B753CE" w:rsidRDefault="00B753CE" w:rsidP="00B753CE">
            <w:pPr>
              <w:rPr>
                <w:rFonts w:cs="Arial"/>
                <w:b/>
                <w:bCs/>
                <w:sz w:val="20"/>
              </w:rPr>
            </w:pPr>
            <w:r w:rsidRPr="00CE4201">
              <w:rPr>
                <w:rFonts w:cs="Arial"/>
                <w:b/>
                <w:bCs/>
                <w:sz w:val="20"/>
              </w:rPr>
              <w:t xml:space="preserve">6.2 Responsibilities of Halton Borough Council (HBC) </w:t>
            </w:r>
          </w:p>
          <w:p w14:paraId="658C37B5" w14:textId="1EF102C1" w:rsidR="00B753CE" w:rsidRDefault="00B753CE" w:rsidP="00B753CE">
            <w:pPr>
              <w:suppressAutoHyphens w:val="0"/>
              <w:rPr>
                <w:sz w:val="20"/>
              </w:rPr>
            </w:pPr>
            <w:r w:rsidRPr="00B753CE">
              <w:rPr>
                <w:sz w:val="20"/>
              </w:rPr>
              <w:t>Provide the exchange packs and associated materials and will commission a clinical waste disposal service for each participating pharmacy. Any queries regarding the waste disposal service should be made to the Commissioner in the first instance. The frequency of waste collection should be agreed to ensure there is not an unacceptable build-up of clinical waste on the pharmacy premises</w:t>
            </w:r>
            <w:r w:rsidR="001E310E">
              <w:rPr>
                <w:sz w:val="20"/>
              </w:rPr>
              <w:t>.</w:t>
            </w:r>
          </w:p>
          <w:p w14:paraId="73CF4438" w14:textId="77777777" w:rsidR="00B753CE" w:rsidRPr="00B753CE" w:rsidRDefault="00B753CE" w:rsidP="00B753CE">
            <w:pPr>
              <w:suppressAutoHyphens w:val="0"/>
              <w:rPr>
                <w:sz w:val="20"/>
              </w:rPr>
            </w:pPr>
          </w:p>
          <w:p w14:paraId="4F4214E3" w14:textId="264188FF" w:rsidR="00B753CE" w:rsidRDefault="00D11762" w:rsidP="00B753CE">
            <w:pPr>
              <w:suppressAutoHyphens w:val="0"/>
              <w:rPr>
                <w:sz w:val="20"/>
              </w:rPr>
            </w:pPr>
            <w:r>
              <w:rPr>
                <w:sz w:val="20"/>
              </w:rPr>
              <w:t xml:space="preserve">Use the appropriate IT system </w:t>
            </w:r>
            <w:r w:rsidR="00B753CE" w:rsidRPr="00B753CE">
              <w:rPr>
                <w:sz w:val="20"/>
              </w:rPr>
              <w:t>for the recording of relevant service information for the purposes of audit and the claiming of payment</w:t>
            </w:r>
            <w:r w:rsidR="00B753CE">
              <w:rPr>
                <w:sz w:val="20"/>
              </w:rPr>
              <w:t>.</w:t>
            </w:r>
          </w:p>
          <w:p w14:paraId="429CE009" w14:textId="77777777" w:rsidR="00B753CE" w:rsidRPr="00B753CE" w:rsidRDefault="00B753CE" w:rsidP="00B753CE">
            <w:pPr>
              <w:suppressAutoHyphens w:val="0"/>
              <w:rPr>
                <w:sz w:val="20"/>
              </w:rPr>
            </w:pPr>
          </w:p>
          <w:p w14:paraId="35282527" w14:textId="47690116" w:rsidR="00B753CE" w:rsidRDefault="00B753CE" w:rsidP="00B753CE">
            <w:pPr>
              <w:suppressAutoHyphens w:val="0"/>
              <w:rPr>
                <w:sz w:val="20"/>
              </w:rPr>
            </w:pPr>
            <w:r w:rsidRPr="00B753CE">
              <w:rPr>
                <w:sz w:val="20"/>
              </w:rPr>
              <w:t>Provide details of relevant referral points which pharmacy staff can use to signpost service users who require further assistance</w:t>
            </w:r>
            <w:r>
              <w:rPr>
                <w:sz w:val="20"/>
              </w:rPr>
              <w:t>.</w:t>
            </w:r>
          </w:p>
          <w:p w14:paraId="60261717" w14:textId="62AEC204" w:rsidR="00B753CE" w:rsidRDefault="00B753CE" w:rsidP="00B753CE">
            <w:pPr>
              <w:suppressAutoHyphens w:val="0"/>
              <w:rPr>
                <w:sz w:val="20"/>
              </w:rPr>
            </w:pPr>
            <w:r w:rsidRPr="00B753CE">
              <w:rPr>
                <w:sz w:val="20"/>
              </w:rPr>
              <w:t>Obtain health promotion material relevant to the service users and making this available to pharmacies in Halton</w:t>
            </w:r>
            <w:r>
              <w:rPr>
                <w:sz w:val="20"/>
              </w:rPr>
              <w:t>.</w:t>
            </w:r>
          </w:p>
          <w:p w14:paraId="3100B3EE" w14:textId="77777777" w:rsidR="00B753CE" w:rsidRPr="00B753CE" w:rsidRDefault="00B753CE" w:rsidP="00B753CE">
            <w:pPr>
              <w:suppressAutoHyphens w:val="0"/>
              <w:rPr>
                <w:sz w:val="20"/>
              </w:rPr>
            </w:pPr>
          </w:p>
          <w:p w14:paraId="3050C9F6" w14:textId="77777777" w:rsidR="00B753CE" w:rsidRPr="00B753CE" w:rsidRDefault="00B753CE" w:rsidP="00B753CE">
            <w:pPr>
              <w:suppressAutoHyphens w:val="0"/>
              <w:rPr>
                <w:sz w:val="20"/>
              </w:rPr>
            </w:pPr>
            <w:r w:rsidRPr="00B753CE">
              <w:rPr>
                <w:sz w:val="20"/>
              </w:rPr>
              <w:t>Distribute lists of participating pharmacies to Drug/HIV, sexual health agencies and to Hospital Accident and Emergency departments on an annual basis.</w:t>
            </w:r>
          </w:p>
          <w:p w14:paraId="4BB338D0" w14:textId="31EB04BC" w:rsidR="00886CA9" w:rsidRPr="00FA34B0" w:rsidRDefault="00886CA9" w:rsidP="00857E96">
            <w:pPr>
              <w:contextualSpacing/>
              <w:rPr>
                <w:rFonts w:cs="Arial"/>
                <w:sz w:val="20"/>
              </w:rPr>
            </w:pPr>
          </w:p>
        </w:tc>
      </w:tr>
      <w:tr w:rsidR="00886CA9" w:rsidRPr="00FA34B0" w14:paraId="061F6506" w14:textId="77777777" w:rsidTr="006969ED">
        <w:tc>
          <w:tcPr>
            <w:tcW w:w="9016" w:type="dxa"/>
            <w:shd w:val="clear" w:color="auto" w:fill="BFBFBF" w:themeFill="background1" w:themeFillShade="BF"/>
          </w:tcPr>
          <w:p w14:paraId="122DE7B9" w14:textId="14B58DE5" w:rsidR="00886CA9" w:rsidRPr="006969ED" w:rsidRDefault="00886CA9" w:rsidP="00886CA9">
            <w:pPr>
              <w:rPr>
                <w:rFonts w:cs="Arial"/>
                <w:b/>
                <w:bCs/>
                <w:sz w:val="20"/>
              </w:rPr>
            </w:pPr>
            <w:r w:rsidRPr="006969ED">
              <w:rPr>
                <w:rFonts w:cs="Arial"/>
                <w:b/>
                <w:bCs/>
                <w:sz w:val="20"/>
              </w:rPr>
              <w:lastRenderedPageBreak/>
              <w:t xml:space="preserve">7. Training and Competency </w:t>
            </w:r>
          </w:p>
        </w:tc>
      </w:tr>
      <w:tr w:rsidR="00886CA9" w:rsidRPr="00FA34B0" w14:paraId="416A12E5" w14:textId="77777777" w:rsidTr="001E2E94">
        <w:tc>
          <w:tcPr>
            <w:tcW w:w="9016" w:type="dxa"/>
          </w:tcPr>
          <w:p w14:paraId="7F659A8F" w14:textId="77777777" w:rsidR="00886CA9" w:rsidRPr="00DD4963" w:rsidRDefault="00886CA9" w:rsidP="00886CA9">
            <w:pPr>
              <w:contextualSpacing/>
              <w:rPr>
                <w:rFonts w:cs="Arial"/>
                <w:sz w:val="20"/>
              </w:rPr>
            </w:pPr>
            <w:r w:rsidRPr="00DD4963">
              <w:rPr>
                <w:rFonts w:cs="Arial"/>
                <w:sz w:val="20"/>
              </w:rPr>
              <w:t>In order to deliver the service on behalf of Halton Borough Council community pharmacists must:</w:t>
            </w:r>
          </w:p>
          <w:p w14:paraId="77E755E2" w14:textId="77777777" w:rsidR="00886CA9" w:rsidRPr="00DD4963" w:rsidRDefault="00886CA9" w:rsidP="00886CA9">
            <w:pPr>
              <w:ind w:left="709"/>
              <w:contextualSpacing/>
              <w:rPr>
                <w:rFonts w:cs="Arial"/>
                <w:sz w:val="20"/>
              </w:rPr>
            </w:pPr>
          </w:p>
          <w:p w14:paraId="00D6BBB6" w14:textId="77777777" w:rsidR="00886CA9" w:rsidRPr="00DD4963" w:rsidRDefault="00886CA9" w:rsidP="00886CA9">
            <w:pPr>
              <w:numPr>
                <w:ilvl w:val="0"/>
                <w:numId w:val="20"/>
              </w:numPr>
              <w:suppressAutoHyphens w:val="0"/>
              <w:spacing w:line="276" w:lineRule="auto"/>
              <w:contextualSpacing/>
              <w:rPr>
                <w:rFonts w:cs="Arial"/>
                <w:sz w:val="20"/>
              </w:rPr>
            </w:pPr>
            <w:r w:rsidRPr="00DD4963">
              <w:rPr>
                <w:rFonts w:cs="Arial"/>
                <w:sz w:val="20"/>
              </w:rPr>
              <w:t>Be registered with the General Pharmaceutical Council (</w:t>
            </w:r>
            <w:proofErr w:type="spellStart"/>
            <w:r w:rsidRPr="00DD4963">
              <w:rPr>
                <w:rFonts w:cs="Arial"/>
                <w:sz w:val="20"/>
              </w:rPr>
              <w:t>GPhC</w:t>
            </w:r>
            <w:proofErr w:type="spellEnd"/>
            <w:r w:rsidRPr="00DD4963">
              <w:rPr>
                <w:rFonts w:cs="Arial"/>
                <w:sz w:val="20"/>
              </w:rPr>
              <w:t xml:space="preserve">); </w:t>
            </w:r>
          </w:p>
          <w:p w14:paraId="48EBEB4A" w14:textId="77777777" w:rsidR="00886CA9" w:rsidRPr="00DD4963" w:rsidRDefault="00886CA9" w:rsidP="00886CA9">
            <w:pPr>
              <w:numPr>
                <w:ilvl w:val="0"/>
                <w:numId w:val="20"/>
              </w:numPr>
              <w:suppressAutoHyphens w:val="0"/>
              <w:spacing w:after="200" w:line="276" w:lineRule="auto"/>
              <w:contextualSpacing/>
              <w:rPr>
                <w:rFonts w:cs="Arial"/>
                <w:sz w:val="20"/>
              </w:rPr>
            </w:pPr>
            <w:r w:rsidRPr="00DD4963">
              <w:rPr>
                <w:rFonts w:cs="Arial"/>
                <w:sz w:val="20"/>
              </w:rPr>
              <w:t>Be working in a pharmacy contracted to NHS England;</w:t>
            </w:r>
          </w:p>
          <w:p w14:paraId="1DAE5C3D" w14:textId="77777777" w:rsidR="00886CA9" w:rsidRPr="00DD4963" w:rsidRDefault="00886CA9" w:rsidP="00886CA9">
            <w:pPr>
              <w:numPr>
                <w:ilvl w:val="0"/>
                <w:numId w:val="20"/>
              </w:numPr>
              <w:suppressAutoHyphens w:val="0"/>
              <w:spacing w:line="276" w:lineRule="auto"/>
              <w:contextualSpacing/>
              <w:rPr>
                <w:rFonts w:cs="Arial"/>
                <w:sz w:val="20"/>
              </w:rPr>
            </w:pPr>
            <w:r w:rsidRPr="00DD4963">
              <w:rPr>
                <w:rFonts w:cs="Arial"/>
                <w:sz w:val="20"/>
              </w:rPr>
              <w:t>Provide the service from premises located within the administrative boundary of Halton Borough Council;</w:t>
            </w:r>
          </w:p>
          <w:p w14:paraId="451553BF" w14:textId="586F3C0A" w:rsidR="00886CA9" w:rsidRPr="00DD4963" w:rsidRDefault="00886CA9" w:rsidP="00886CA9">
            <w:pPr>
              <w:pStyle w:val="ListParagraph"/>
              <w:numPr>
                <w:ilvl w:val="0"/>
                <w:numId w:val="20"/>
              </w:numPr>
              <w:suppressAutoHyphens w:val="0"/>
              <w:spacing w:after="200" w:line="276" w:lineRule="auto"/>
              <w:jc w:val="left"/>
              <w:rPr>
                <w:rFonts w:cs="Arial"/>
                <w:sz w:val="20"/>
              </w:rPr>
            </w:pPr>
            <w:r w:rsidRPr="00DD4963">
              <w:rPr>
                <w:rFonts w:cs="Arial"/>
                <w:sz w:val="20"/>
              </w:rPr>
              <w:t>Ensure that staff involved in the delivery of the service have undertaken appropriate training</w:t>
            </w:r>
            <w:r w:rsidR="000C346C">
              <w:rPr>
                <w:rFonts w:cs="Arial"/>
                <w:sz w:val="20"/>
              </w:rPr>
              <w:t>;</w:t>
            </w:r>
          </w:p>
          <w:p w14:paraId="5E3A9A15" w14:textId="50D518A7" w:rsidR="00886CA9" w:rsidRPr="00DD4963" w:rsidRDefault="00886CA9" w:rsidP="00886CA9">
            <w:pPr>
              <w:pStyle w:val="ListParagraph"/>
              <w:numPr>
                <w:ilvl w:val="0"/>
                <w:numId w:val="20"/>
              </w:numPr>
              <w:suppressAutoHyphens w:val="0"/>
              <w:spacing w:after="200" w:line="276" w:lineRule="auto"/>
              <w:jc w:val="left"/>
              <w:rPr>
                <w:rFonts w:cs="Arial"/>
                <w:sz w:val="20"/>
              </w:rPr>
            </w:pPr>
            <w:r w:rsidRPr="00DD4963">
              <w:rPr>
                <w:rFonts w:cs="Arial"/>
                <w:sz w:val="20"/>
              </w:rPr>
              <w:t xml:space="preserve">Ensure that </w:t>
            </w:r>
            <w:r w:rsidR="002D5339">
              <w:rPr>
                <w:rFonts w:cs="Arial"/>
                <w:sz w:val="20"/>
              </w:rPr>
              <w:t>pharmacists</w:t>
            </w:r>
            <w:r w:rsidRPr="00DD4963">
              <w:rPr>
                <w:rFonts w:cs="Arial"/>
                <w:sz w:val="20"/>
              </w:rPr>
              <w:t xml:space="preserve"> complete and satisfy the requirements of the Self-Declaration of Competence for Community Pharmacy for Needle and Exchange Programmes every t</w:t>
            </w:r>
            <w:r w:rsidR="005C1CF4">
              <w:rPr>
                <w:rFonts w:cs="Arial"/>
                <w:sz w:val="20"/>
              </w:rPr>
              <w:t>hree y</w:t>
            </w:r>
            <w:r w:rsidRPr="00DD4963">
              <w:rPr>
                <w:rFonts w:cs="Arial"/>
                <w:sz w:val="20"/>
              </w:rPr>
              <w:t>ears or sooner if appropriate;</w:t>
            </w:r>
          </w:p>
          <w:p w14:paraId="0935ED5A" w14:textId="6C6AA7B4" w:rsidR="00886CA9" w:rsidRDefault="00886CA9" w:rsidP="00886CA9">
            <w:pPr>
              <w:pStyle w:val="ListParagraph"/>
              <w:numPr>
                <w:ilvl w:val="0"/>
                <w:numId w:val="20"/>
              </w:numPr>
              <w:suppressAutoHyphens w:val="0"/>
              <w:spacing w:after="200" w:line="276" w:lineRule="auto"/>
              <w:jc w:val="left"/>
              <w:rPr>
                <w:rFonts w:cs="Arial"/>
                <w:sz w:val="20"/>
              </w:rPr>
            </w:pPr>
            <w:r w:rsidRPr="00DD4963">
              <w:rPr>
                <w:rFonts w:cs="Arial"/>
                <w:sz w:val="20"/>
              </w:rPr>
              <w:t xml:space="preserve">Ensure that </w:t>
            </w:r>
            <w:r w:rsidR="002D5339">
              <w:rPr>
                <w:rFonts w:cs="Arial"/>
                <w:sz w:val="20"/>
              </w:rPr>
              <w:t xml:space="preserve">staff </w:t>
            </w:r>
            <w:r w:rsidRPr="00DD4963">
              <w:rPr>
                <w:rFonts w:cs="Arial"/>
                <w:sz w:val="20"/>
              </w:rPr>
              <w:t>have received additional appropriate training relating to health and safety, data prote</w:t>
            </w:r>
            <w:r>
              <w:rPr>
                <w:rFonts w:cs="Arial"/>
                <w:sz w:val="20"/>
              </w:rPr>
              <w:t>ction and basic drugs awareness;</w:t>
            </w:r>
          </w:p>
          <w:p w14:paraId="74DF4160" w14:textId="77777777" w:rsidR="00886CA9" w:rsidRDefault="00886CA9" w:rsidP="00886CA9">
            <w:pPr>
              <w:pStyle w:val="ListParagraph"/>
              <w:numPr>
                <w:ilvl w:val="0"/>
                <w:numId w:val="20"/>
              </w:numPr>
              <w:suppressAutoHyphens w:val="0"/>
              <w:spacing w:after="200" w:line="276" w:lineRule="auto"/>
              <w:jc w:val="left"/>
              <w:rPr>
                <w:rFonts w:cs="Arial"/>
                <w:sz w:val="20"/>
              </w:rPr>
            </w:pPr>
            <w:r w:rsidRPr="00DC6C68">
              <w:rPr>
                <w:rFonts w:cs="Arial"/>
                <w:sz w:val="20"/>
              </w:rPr>
              <w:t>A staff training log must be available</w:t>
            </w:r>
            <w:r>
              <w:rPr>
                <w:rFonts w:cs="Arial"/>
                <w:sz w:val="20"/>
              </w:rPr>
              <w:t xml:space="preserve"> for inspection, by arrangement;</w:t>
            </w:r>
          </w:p>
          <w:p w14:paraId="33DBFC1B" w14:textId="77777777" w:rsidR="00886CA9" w:rsidRPr="00A43A27" w:rsidRDefault="00886CA9" w:rsidP="00886CA9">
            <w:pPr>
              <w:contextualSpacing/>
              <w:rPr>
                <w:rFonts w:cs="Arial"/>
                <w:sz w:val="20"/>
              </w:rPr>
            </w:pPr>
            <w:r w:rsidRPr="00DC6C68">
              <w:rPr>
                <w:rFonts w:cs="Arial"/>
                <w:sz w:val="20"/>
              </w:rPr>
              <w:t>It is the service provider’s responsibility to ensure that the staff they employ are trained and competent to provide the service.</w:t>
            </w:r>
            <w:r>
              <w:rPr>
                <w:rFonts w:cs="Arial"/>
                <w:sz w:val="20"/>
              </w:rPr>
              <w:t xml:space="preserve"> </w:t>
            </w:r>
            <w:r w:rsidRPr="00DC6C68">
              <w:rPr>
                <w:rFonts w:cs="Arial"/>
                <w:sz w:val="20"/>
              </w:rPr>
              <w:t>Staff should not provide the service until trained (see training and competency above).</w:t>
            </w:r>
          </w:p>
          <w:p w14:paraId="1661CFB5" w14:textId="77777777" w:rsidR="00886CA9" w:rsidRPr="00FA34B0" w:rsidRDefault="00886CA9" w:rsidP="00886CA9">
            <w:pPr>
              <w:rPr>
                <w:rFonts w:cs="Arial"/>
                <w:sz w:val="20"/>
              </w:rPr>
            </w:pPr>
          </w:p>
        </w:tc>
      </w:tr>
      <w:tr w:rsidR="00886CA9" w:rsidRPr="00FA34B0" w14:paraId="2FE70FD9" w14:textId="77777777" w:rsidTr="006969ED">
        <w:tc>
          <w:tcPr>
            <w:tcW w:w="9016" w:type="dxa"/>
            <w:shd w:val="clear" w:color="auto" w:fill="BFBFBF" w:themeFill="background1" w:themeFillShade="BF"/>
          </w:tcPr>
          <w:p w14:paraId="3B2C5C8B" w14:textId="097AA625" w:rsidR="00886CA9" w:rsidRPr="006969ED" w:rsidRDefault="00886CA9" w:rsidP="00886CA9">
            <w:pPr>
              <w:rPr>
                <w:rFonts w:cs="Arial"/>
                <w:b/>
                <w:bCs/>
                <w:sz w:val="20"/>
              </w:rPr>
            </w:pPr>
            <w:r w:rsidRPr="006969ED">
              <w:rPr>
                <w:rFonts w:cs="Arial"/>
                <w:b/>
                <w:bCs/>
                <w:sz w:val="20"/>
              </w:rPr>
              <w:t xml:space="preserve">8. Welfare </w:t>
            </w:r>
          </w:p>
        </w:tc>
      </w:tr>
      <w:tr w:rsidR="00886CA9" w:rsidRPr="00FA34B0" w14:paraId="3FD3C993" w14:textId="77777777" w:rsidTr="001E2E94">
        <w:tc>
          <w:tcPr>
            <w:tcW w:w="9016" w:type="dxa"/>
          </w:tcPr>
          <w:p w14:paraId="0BEE6BDD" w14:textId="77777777" w:rsidR="00886CA9" w:rsidRPr="00A23E9D" w:rsidRDefault="00886CA9" w:rsidP="00886CA9">
            <w:pPr>
              <w:rPr>
                <w:rFonts w:cs="Arial"/>
                <w:sz w:val="20"/>
                <w:lang w:eastAsia="en-GB"/>
              </w:rPr>
            </w:pPr>
            <w:r w:rsidRPr="00A23E9D">
              <w:rPr>
                <w:rFonts w:cs="Arial"/>
                <w:sz w:val="20"/>
                <w:lang w:eastAsia="en-GB"/>
              </w:rPr>
              <w:t>Where there are concerns about the welfare of any person aged 0 to 18 within the pharmacy setting and/or accessing the service appropriate immediate action must be taken to address those concerns by following the</w:t>
            </w:r>
            <w:r>
              <w:rPr>
                <w:rFonts w:cs="Arial"/>
                <w:sz w:val="20"/>
                <w:lang w:eastAsia="en-GB"/>
              </w:rPr>
              <w:t xml:space="preserve"> Safeguarding pathway.</w:t>
            </w:r>
          </w:p>
          <w:p w14:paraId="54ACBFAC" w14:textId="77777777" w:rsidR="00886CA9" w:rsidRDefault="00886CA9" w:rsidP="00886CA9">
            <w:pPr>
              <w:rPr>
                <w:rStyle w:val="Hyperlink"/>
                <w:rFonts w:cs="Arial"/>
                <w:sz w:val="20"/>
                <w:lang w:eastAsia="en-GB"/>
              </w:rPr>
            </w:pPr>
            <w:r w:rsidRPr="00A23E9D">
              <w:rPr>
                <w:rFonts w:cs="Arial"/>
                <w:sz w:val="20"/>
                <w:lang w:eastAsia="en-GB"/>
              </w:rPr>
              <w:t>Additional information on Child Safeguarding procedures can be found at</w:t>
            </w:r>
            <w:r>
              <w:rPr>
                <w:rFonts w:cs="Arial"/>
                <w:sz w:val="20"/>
                <w:lang w:eastAsia="en-GB"/>
              </w:rPr>
              <w:t>:</w:t>
            </w:r>
          </w:p>
          <w:p w14:paraId="024200C8" w14:textId="77777777" w:rsidR="00886CA9" w:rsidRDefault="00886CA9" w:rsidP="00886CA9">
            <w:pPr>
              <w:rPr>
                <w:rStyle w:val="Hyperlink"/>
                <w:rFonts w:cs="Arial"/>
                <w:sz w:val="20"/>
                <w:lang w:eastAsia="en-GB"/>
              </w:rPr>
            </w:pPr>
            <w:hyperlink r:id="rId16" w:history="1">
              <w:r w:rsidRPr="000B59C4">
                <w:rPr>
                  <w:rStyle w:val="Hyperlink"/>
                  <w:rFonts w:cs="Arial"/>
                  <w:sz w:val="20"/>
                  <w:lang w:eastAsia="en-GB"/>
                </w:rPr>
                <w:t>https://hcypsp.haltonsafeguarding.co.uk/</w:t>
              </w:r>
            </w:hyperlink>
          </w:p>
          <w:p w14:paraId="39249D39" w14:textId="77777777" w:rsidR="00886CA9" w:rsidRPr="00A23E9D" w:rsidRDefault="00886CA9" w:rsidP="00886CA9">
            <w:pPr>
              <w:rPr>
                <w:rStyle w:val="Hyperlink"/>
                <w:rFonts w:cs="Arial"/>
                <w:sz w:val="20"/>
                <w:lang w:eastAsia="en-GB"/>
              </w:rPr>
            </w:pPr>
          </w:p>
          <w:p w14:paraId="4CB05FC3" w14:textId="77777777" w:rsidR="00886CA9" w:rsidRDefault="00886CA9" w:rsidP="00886CA9">
            <w:pPr>
              <w:rPr>
                <w:rFonts w:cs="Arial"/>
                <w:sz w:val="20"/>
                <w:lang w:eastAsia="en-GB"/>
              </w:rPr>
            </w:pPr>
            <w:hyperlink r:id="rId17" w:history="1">
              <w:r w:rsidRPr="00601745">
                <w:rPr>
                  <w:rStyle w:val="Hyperlink"/>
                  <w:rFonts w:cs="Arial"/>
                  <w:sz w:val="20"/>
                  <w:lang w:eastAsia="en-GB"/>
                </w:rPr>
                <w:t>https://hcypsp.haltonsafeguarding.co.uk/procedures-guidance/</w:t>
              </w:r>
            </w:hyperlink>
            <w:r w:rsidRPr="00601745">
              <w:rPr>
                <w:rFonts w:cs="Arial"/>
                <w:sz w:val="20"/>
                <w:lang w:eastAsia="en-GB"/>
              </w:rPr>
              <w:t xml:space="preserve"> </w:t>
            </w:r>
          </w:p>
          <w:p w14:paraId="25569455" w14:textId="77777777" w:rsidR="00886CA9" w:rsidRPr="0059507B" w:rsidRDefault="00886CA9" w:rsidP="00886CA9">
            <w:pPr>
              <w:rPr>
                <w:rFonts w:cs="Arial"/>
                <w:sz w:val="20"/>
                <w:lang w:eastAsia="en-GB"/>
              </w:rPr>
            </w:pPr>
          </w:p>
          <w:p w14:paraId="05854837" w14:textId="77777777" w:rsidR="00886CA9" w:rsidRPr="004F46C4" w:rsidRDefault="00886CA9" w:rsidP="00886CA9">
            <w:pPr>
              <w:rPr>
                <w:rFonts w:cs="Arial"/>
                <w:sz w:val="20"/>
                <w:lang w:eastAsia="en-GB"/>
              </w:rPr>
            </w:pPr>
            <w:r w:rsidRPr="00A23E9D">
              <w:rPr>
                <w:rFonts w:cs="Arial"/>
                <w:sz w:val="20"/>
                <w:lang w:eastAsia="en-GB"/>
              </w:rPr>
              <w:t>If there are concerns about the welfare of someone over the age of 18 pharmacists are required to contact Halton Borough Council on 0303 333 4300 (this will be picked up by the Emergency Duty Team if outside of normal office hours) or if there is an immediate threat to safety or wellbeing the pharmacist should contact the Police.</w:t>
            </w:r>
          </w:p>
          <w:p w14:paraId="2568C82A" w14:textId="77777777" w:rsidR="00886CA9" w:rsidRPr="00FA34B0" w:rsidRDefault="00886CA9" w:rsidP="00886CA9">
            <w:pPr>
              <w:rPr>
                <w:rFonts w:cs="Arial"/>
                <w:sz w:val="20"/>
              </w:rPr>
            </w:pPr>
          </w:p>
        </w:tc>
      </w:tr>
      <w:tr w:rsidR="00886CA9" w:rsidRPr="00FA34B0" w14:paraId="7611FAEC" w14:textId="77777777" w:rsidTr="006969ED">
        <w:tc>
          <w:tcPr>
            <w:tcW w:w="9016" w:type="dxa"/>
            <w:shd w:val="clear" w:color="auto" w:fill="BFBFBF" w:themeFill="background1" w:themeFillShade="BF"/>
          </w:tcPr>
          <w:p w14:paraId="3EA25E8C" w14:textId="6433C41E" w:rsidR="00886CA9" w:rsidRPr="006969ED" w:rsidRDefault="00886CA9" w:rsidP="00886CA9">
            <w:pPr>
              <w:rPr>
                <w:rFonts w:cs="Arial"/>
                <w:b/>
                <w:bCs/>
                <w:sz w:val="20"/>
              </w:rPr>
            </w:pPr>
            <w:r w:rsidRPr="006969ED">
              <w:rPr>
                <w:rFonts w:cs="Arial"/>
                <w:b/>
                <w:bCs/>
                <w:sz w:val="20"/>
              </w:rPr>
              <w:t>9. Significant Event Reporting</w:t>
            </w:r>
          </w:p>
        </w:tc>
      </w:tr>
      <w:tr w:rsidR="00886CA9" w:rsidRPr="00FA34B0" w14:paraId="537BF945" w14:textId="77777777" w:rsidTr="001E2E94">
        <w:tc>
          <w:tcPr>
            <w:tcW w:w="9016" w:type="dxa"/>
          </w:tcPr>
          <w:p w14:paraId="4F73C533" w14:textId="77777777" w:rsidR="00886CA9" w:rsidRPr="00DD4963" w:rsidRDefault="00886CA9" w:rsidP="00886CA9">
            <w:pPr>
              <w:contextualSpacing/>
              <w:rPr>
                <w:rFonts w:cs="Arial"/>
                <w:sz w:val="20"/>
              </w:rPr>
            </w:pPr>
            <w:r w:rsidRPr="00DD4963">
              <w:rPr>
                <w:rFonts w:cs="Arial"/>
                <w:sz w:val="20"/>
              </w:rPr>
              <w:lastRenderedPageBreak/>
              <w:t xml:space="preserve">The service provider must have an adverse incident and near miss reporting system in place which includes maintaining a log of patient safety incidents. </w:t>
            </w:r>
          </w:p>
          <w:p w14:paraId="27610541" w14:textId="77777777" w:rsidR="00886CA9" w:rsidRPr="00DD4963" w:rsidRDefault="00886CA9" w:rsidP="00886CA9">
            <w:pPr>
              <w:contextualSpacing/>
              <w:rPr>
                <w:rFonts w:cs="Arial"/>
                <w:sz w:val="20"/>
              </w:rPr>
            </w:pPr>
          </w:p>
          <w:p w14:paraId="50134C47" w14:textId="77777777" w:rsidR="00886CA9" w:rsidRPr="00DD4963" w:rsidRDefault="00886CA9" w:rsidP="00886CA9">
            <w:pPr>
              <w:contextualSpacing/>
              <w:rPr>
                <w:rFonts w:cs="Arial"/>
                <w:sz w:val="20"/>
              </w:rPr>
            </w:pPr>
            <w:r w:rsidRPr="00DD4963">
              <w:rPr>
                <w:rFonts w:cs="Arial"/>
                <w:sz w:val="20"/>
              </w:rPr>
              <w:t>The service provider should be able to demonstrate that it has learnt from an event.</w:t>
            </w:r>
          </w:p>
          <w:p w14:paraId="0F622C71" w14:textId="77777777" w:rsidR="00886CA9" w:rsidRPr="00DD4963" w:rsidRDefault="00886CA9" w:rsidP="00886CA9">
            <w:pPr>
              <w:contextualSpacing/>
              <w:rPr>
                <w:rFonts w:cs="Arial"/>
                <w:sz w:val="20"/>
              </w:rPr>
            </w:pPr>
          </w:p>
          <w:p w14:paraId="444FAD10" w14:textId="77777777" w:rsidR="00886CA9" w:rsidRPr="00DD4963" w:rsidRDefault="00886CA9" w:rsidP="00886CA9">
            <w:pPr>
              <w:contextualSpacing/>
              <w:rPr>
                <w:rFonts w:cs="Arial"/>
                <w:sz w:val="20"/>
              </w:rPr>
            </w:pPr>
            <w:r w:rsidRPr="00DD4963">
              <w:rPr>
                <w:rFonts w:cs="Arial"/>
                <w:sz w:val="20"/>
              </w:rPr>
              <w:t>Halton Borough Council reserves the right to undertake its own root cause analysis if it feels that the root cause is derived from the implementation of the service specification, protocol or PGD.</w:t>
            </w:r>
          </w:p>
          <w:p w14:paraId="3FAF19A0" w14:textId="77777777" w:rsidR="00886CA9" w:rsidRPr="00DD4963" w:rsidRDefault="00886CA9" w:rsidP="00886CA9">
            <w:pPr>
              <w:contextualSpacing/>
              <w:rPr>
                <w:rFonts w:cs="Arial"/>
                <w:sz w:val="20"/>
              </w:rPr>
            </w:pPr>
            <w:r w:rsidRPr="00DD4963">
              <w:rPr>
                <w:rFonts w:cs="Arial"/>
                <w:sz w:val="20"/>
              </w:rPr>
              <w:t xml:space="preserve"> </w:t>
            </w:r>
          </w:p>
          <w:p w14:paraId="7306FA0D" w14:textId="38E73B84" w:rsidR="000A025C" w:rsidRDefault="00886CA9" w:rsidP="00886CA9">
            <w:pPr>
              <w:contextualSpacing/>
              <w:rPr>
                <w:rFonts w:cs="Arial"/>
                <w:sz w:val="20"/>
              </w:rPr>
            </w:pPr>
            <w:r w:rsidRPr="00DD4963">
              <w:rPr>
                <w:rFonts w:cs="Arial"/>
                <w:sz w:val="20"/>
              </w:rPr>
              <w:t xml:space="preserve">Patient or staff safety incidents or near miss incidents related to this service must be reported to </w:t>
            </w:r>
            <w:r w:rsidR="001C6518" w:rsidRPr="00092626">
              <w:rPr>
                <w:rFonts w:cs="Arial"/>
                <w:sz w:val="20"/>
                <w:u w:val="single"/>
              </w:rPr>
              <w:t>public.health@halton.gov.uk.</w:t>
            </w:r>
          </w:p>
          <w:p w14:paraId="20AACCB5" w14:textId="77777777" w:rsidR="00886CA9" w:rsidRPr="00FA34B0" w:rsidRDefault="00886CA9" w:rsidP="00886CA9">
            <w:pPr>
              <w:contextualSpacing/>
              <w:rPr>
                <w:rFonts w:cs="Arial"/>
                <w:sz w:val="20"/>
              </w:rPr>
            </w:pPr>
          </w:p>
        </w:tc>
      </w:tr>
      <w:tr w:rsidR="00886CA9" w:rsidRPr="00FA34B0" w14:paraId="32064DAE" w14:textId="77777777" w:rsidTr="006969ED">
        <w:tc>
          <w:tcPr>
            <w:tcW w:w="9016" w:type="dxa"/>
            <w:shd w:val="clear" w:color="auto" w:fill="BFBFBF" w:themeFill="background1" w:themeFillShade="BF"/>
          </w:tcPr>
          <w:p w14:paraId="5EC47696" w14:textId="161EF137" w:rsidR="00886CA9" w:rsidRPr="006969ED" w:rsidRDefault="00886CA9" w:rsidP="00886CA9">
            <w:pPr>
              <w:rPr>
                <w:rFonts w:cs="Arial"/>
                <w:b/>
                <w:bCs/>
                <w:sz w:val="20"/>
              </w:rPr>
            </w:pPr>
            <w:r w:rsidRPr="006969ED">
              <w:rPr>
                <w:rFonts w:cs="Arial"/>
                <w:b/>
                <w:bCs/>
                <w:sz w:val="20"/>
              </w:rPr>
              <w:t>10. Complaints</w:t>
            </w:r>
          </w:p>
        </w:tc>
      </w:tr>
      <w:tr w:rsidR="00886CA9" w:rsidRPr="00FA34B0" w14:paraId="258C9731" w14:textId="77777777" w:rsidTr="001E2E94">
        <w:tc>
          <w:tcPr>
            <w:tcW w:w="9016" w:type="dxa"/>
          </w:tcPr>
          <w:p w14:paraId="1A7ED11F" w14:textId="158BCDE8" w:rsidR="00886CA9" w:rsidRPr="00DD4963" w:rsidRDefault="00886CA9" w:rsidP="00886CA9">
            <w:pPr>
              <w:rPr>
                <w:rFonts w:cs="Arial"/>
                <w:sz w:val="20"/>
              </w:rPr>
            </w:pPr>
            <w:r w:rsidRPr="00DD4963">
              <w:rPr>
                <w:rFonts w:cs="Arial"/>
                <w:sz w:val="20"/>
              </w:rPr>
              <w:t xml:space="preserve">The service provider must have a complaints procedure that complies with Local Authority Social Services and National Health Service complaints (England) Regulations 2009. </w:t>
            </w:r>
          </w:p>
          <w:p w14:paraId="7834A3F5" w14:textId="77777777" w:rsidR="00886CA9" w:rsidRDefault="00886CA9" w:rsidP="00886CA9">
            <w:pPr>
              <w:rPr>
                <w:rFonts w:cs="Arial"/>
                <w:sz w:val="20"/>
              </w:rPr>
            </w:pPr>
            <w:r w:rsidRPr="00DD4963">
              <w:rPr>
                <w:rFonts w:cs="Arial"/>
                <w:sz w:val="20"/>
              </w:rPr>
              <w:t>The service provider should inform clients connected to this service of their right to complain to Halton Borough Council.  Information shall be provided to the client in order for them to access the Council’s complaints procedure.</w:t>
            </w:r>
          </w:p>
          <w:p w14:paraId="6A2E430B" w14:textId="77777777" w:rsidR="00886CA9" w:rsidRPr="00DD4963" w:rsidRDefault="00886CA9" w:rsidP="00886CA9">
            <w:pPr>
              <w:rPr>
                <w:rFonts w:cs="Arial"/>
                <w:sz w:val="20"/>
              </w:rPr>
            </w:pPr>
          </w:p>
          <w:p w14:paraId="1682F447" w14:textId="15F269DF" w:rsidR="00886CA9" w:rsidRDefault="0017605C" w:rsidP="00886CA9">
            <w:pPr>
              <w:rPr>
                <w:rFonts w:cs="Arial"/>
                <w:sz w:val="20"/>
              </w:rPr>
            </w:pPr>
            <w:r w:rsidRPr="00DD4963">
              <w:rPr>
                <w:rFonts w:cs="Arial"/>
                <w:sz w:val="20"/>
              </w:rPr>
              <w:t>Complaints directly linked to this service must be reported to Halton Borough Council</w:t>
            </w:r>
            <w:r>
              <w:rPr>
                <w:rFonts w:cs="Arial"/>
                <w:sz w:val="20"/>
              </w:rPr>
              <w:t xml:space="preserve">. Any complaints must be sent to </w:t>
            </w:r>
            <w:r w:rsidRPr="00522DC4">
              <w:rPr>
                <w:rFonts w:cs="Arial"/>
                <w:sz w:val="20"/>
                <w:u w:val="single"/>
              </w:rPr>
              <w:t>public.health@halton.gov.uk</w:t>
            </w:r>
            <w:r>
              <w:rPr>
                <w:rFonts w:cs="Arial"/>
                <w:sz w:val="20"/>
                <w:u w:val="single"/>
              </w:rPr>
              <w:t>.</w:t>
            </w:r>
            <w:r w:rsidRPr="00522DC4">
              <w:rPr>
                <w:rFonts w:cs="Arial"/>
                <w:sz w:val="20"/>
              </w:rPr>
              <w:t xml:space="preserve"> </w:t>
            </w:r>
            <w:r w:rsidR="00886CA9" w:rsidRPr="00DD4963">
              <w:rPr>
                <w:rFonts w:cs="Arial"/>
                <w:sz w:val="20"/>
              </w:rPr>
              <w:t>The Council reserves the right to directly investigate complaints about the service.  In such cases the</w:t>
            </w:r>
            <w:r w:rsidR="00AD446D">
              <w:rPr>
                <w:rFonts w:cs="Arial"/>
                <w:sz w:val="20"/>
              </w:rPr>
              <w:t xml:space="preserve"> service provider</w:t>
            </w:r>
            <w:r w:rsidR="00886CA9" w:rsidRPr="00DD4963">
              <w:rPr>
                <w:rFonts w:cs="Arial"/>
                <w:sz w:val="20"/>
              </w:rPr>
              <w:t xml:space="preserve"> will co-operate with the investigating officer giving full access to all relevant documents, files and information and will allow them to interview any personnel in the pharmacy’s employment or agent in order to carry out their investigation effectively.</w:t>
            </w:r>
            <w:r w:rsidR="006A546D">
              <w:rPr>
                <w:rFonts w:cs="Arial"/>
                <w:sz w:val="20"/>
              </w:rPr>
              <w:t xml:space="preserve"> </w:t>
            </w:r>
            <w:r w:rsidR="006A546D" w:rsidRPr="007B39D1">
              <w:rPr>
                <w:rFonts w:cs="Arial"/>
                <w:sz w:val="20"/>
              </w:rPr>
              <w:t>This will be agreed prior to investigation by the pharmacy lead.</w:t>
            </w:r>
          </w:p>
          <w:p w14:paraId="3BA434DB" w14:textId="77777777" w:rsidR="00886CA9" w:rsidRPr="00FA34B0" w:rsidRDefault="00886CA9" w:rsidP="00886CA9">
            <w:pPr>
              <w:rPr>
                <w:rFonts w:cs="Arial"/>
                <w:sz w:val="20"/>
              </w:rPr>
            </w:pPr>
          </w:p>
        </w:tc>
      </w:tr>
      <w:tr w:rsidR="00886CA9" w:rsidRPr="00FA34B0" w14:paraId="337E1BD2" w14:textId="77777777" w:rsidTr="006969ED">
        <w:tc>
          <w:tcPr>
            <w:tcW w:w="9016" w:type="dxa"/>
            <w:shd w:val="clear" w:color="auto" w:fill="BFBFBF" w:themeFill="background1" w:themeFillShade="BF"/>
          </w:tcPr>
          <w:p w14:paraId="12FDF3C9" w14:textId="00DFBF98" w:rsidR="00886CA9" w:rsidRPr="006969ED" w:rsidRDefault="00886CA9" w:rsidP="00886CA9">
            <w:pPr>
              <w:rPr>
                <w:rFonts w:cs="Arial"/>
                <w:b/>
                <w:bCs/>
                <w:sz w:val="20"/>
              </w:rPr>
            </w:pPr>
            <w:r w:rsidRPr="006969ED">
              <w:rPr>
                <w:rFonts w:cs="Arial"/>
                <w:b/>
                <w:bCs/>
                <w:sz w:val="20"/>
              </w:rPr>
              <w:t>11. Equality and Diversity</w:t>
            </w:r>
          </w:p>
        </w:tc>
      </w:tr>
      <w:tr w:rsidR="00886CA9" w:rsidRPr="00FA34B0" w14:paraId="17544B90" w14:textId="77777777" w:rsidTr="001E2E94">
        <w:tc>
          <w:tcPr>
            <w:tcW w:w="9016" w:type="dxa"/>
          </w:tcPr>
          <w:p w14:paraId="3BA58863" w14:textId="77777777" w:rsidR="00886CA9" w:rsidRDefault="00886CA9" w:rsidP="00886CA9">
            <w:pPr>
              <w:rPr>
                <w:rFonts w:cs="Arial"/>
                <w:sz w:val="20"/>
              </w:rPr>
            </w:pPr>
            <w:r w:rsidRPr="00DD4963">
              <w:rPr>
                <w:rFonts w:cs="Arial"/>
                <w:sz w:val="20"/>
              </w:rPr>
              <w:t xml:space="preserve">The service provider must comply with the requirements of the Equality Act 2010, and will not treat one group of people less favourably than others because of their Age, disability, Gender reassignment, Marriage and civil partnership, Pregnancy and maternity, Religion and belief, Sex, Sexual orientation. </w:t>
            </w:r>
          </w:p>
          <w:p w14:paraId="586E00E0" w14:textId="77777777" w:rsidR="00886CA9" w:rsidRDefault="00886CA9" w:rsidP="00886CA9">
            <w:pPr>
              <w:rPr>
                <w:rFonts w:cs="Arial"/>
                <w:sz w:val="20"/>
              </w:rPr>
            </w:pPr>
            <w:r w:rsidRPr="00DD4963">
              <w:rPr>
                <w:rFonts w:cs="Arial"/>
                <w:sz w:val="20"/>
              </w:rPr>
              <w:t xml:space="preserve">It is the responsibility of the service provider to make reasonable adjustments to meet the individual needs of their patients.  </w:t>
            </w:r>
          </w:p>
          <w:p w14:paraId="068AD684" w14:textId="77777777" w:rsidR="00886CA9" w:rsidRPr="00FA34B0" w:rsidRDefault="00886CA9" w:rsidP="00886CA9">
            <w:pPr>
              <w:rPr>
                <w:rFonts w:cs="Arial"/>
                <w:sz w:val="20"/>
              </w:rPr>
            </w:pPr>
          </w:p>
        </w:tc>
      </w:tr>
      <w:tr w:rsidR="00886CA9" w:rsidRPr="00FA34B0" w14:paraId="13FB7267" w14:textId="77777777" w:rsidTr="006969ED">
        <w:tc>
          <w:tcPr>
            <w:tcW w:w="9016" w:type="dxa"/>
            <w:shd w:val="clear" w:color="auto" w:fill="BFBFBF" w:themeFill="background1" w:themeFillShade="BF"/>
          </w:tcPr>
          <w:p w14:paraId="7CB3ACDC" w14:textId="7F53A84E" w:rsidR="00886CA9" w:rsidRPr="006969ED" w:rsidRDefault="00886CA9" w:rsidP="00886CA9">
            <w:pPr>
              <w:rPr>
                <w:rFonts w:cs="Arial"/>
                <w:b/>
                <w:bCs/>
                <w:sz w:val="20"/>
              </w:rPr>
            </w:pPr>
            <w:r w:rsidRPr="006969ED">
              <w:rPr>
                <w:rFonts w:cs="Arial"/>
                <w:b/>
                <w:bCs/>
                <w:sz w:val="20"/>
              </w:rPr>
              <w:t>12. Health and Safety</w:t>
            </w:r>
          </w:p>
        </w:tc>
      </w:tr>
      <w:tr w:rsidR="00886CA9" w:rsidRPr="00FA34B0" w14:paraId="6BD05A9C" w14:textId="77777777" w:rsidTr="001E2E94">
        <w:tc>
          <w:tcPr>
            <w:tcW w:w="9016" w:type="dxa"/>
          </w:tcPr>
          <w:p w14:paraId="6F370CF9" w14:textId="77777777" w:rsidR="00886CA9" w:rsidRDefault="00886CA9" w:rsidP="00886CA9">
            <w:pPr>
              <w:rPr>
                <w:rFonts w:cs="Arial"/>
                <w:sz w:val="20"/>
              </w:rPr>
            </w:pPr>
            <w:r w:rsidRPr="00DD4963">
              <w:rPr>
                <w:rFonts w:cs="Arial"/>
                <w:sz w:val="20"/>
              </w:rPr>
              <w:t>The service provider shall comply with the requirements of the Health and Safety at Work Act 1974, the management of health and safety at work regulations 1999 and any other acts, regulation, orders or rules of law pertaining to health and safety.</w:t>
            </w:r>
          </w:p>
          <w:p w14:paraId="5105EFE1" w14:textId="77777777" w:rsidR="00886CA9" w:rsidRPr="00FA34B0" w:rsidRDefault="00886CA9" w:rsidP="00886CA9">
            <w:pPr>
              <w:rPr>
                <w:rFonts w:cs="Arial"/>
                <w:sz w:val="20"/>
              </w:rPr>
            </w:pPr>
          </w:p>
        </w:tc>
      </w:tr>
      <w:tr w:rsidR="00886CA9" w:rsidRPr="00FA34B0" w14:paraId="2F44DFA2" w14:textId="77777777" w:rsidTr="006969ED">
        <w:tc>
          <w:tcPr>
            <w:tcW w:w="9016" w:type="dxa"/>
            <w:shd w:val="clear" w:color="auto" w:fill="BFBFBF" w:themeFill="background1" w:themeFillShade="BF"/>
          </w:tcPr>
          <w:p w14:paraId="21BEC97F" w14:textId="30B840C4" w:rsidR="00886CA9" w:rsidRPr="006969ED" w:rsidRDefault="00886CA9" w:rsidP="00886CA9">
            <w:pPr>
              <w:rPr>
                <w:rFonts w:cs="Arial"/>
                <w:b/>
                <w:bCs/>
                <w:sz w:val="20"/>
              </w:rPr>
            </w:pPr>
            <w:r w:rsidRPr="006969ED">
              <w:rPr>
                <w:rFonts w:cs="Arial"/>
                <w:b/>
                <w:bCs/>
                <w:sz w:val="20"/>
              </w:rPr>
              <w:t>13. Freedom of Information</w:t>
            </w:r>
          </w:p>
        </w:tc>
      </w:tr>
      <w:tr w:rsidR="00886CA9" w:rsidRPr="00FA34B0" w14:paraId="68862D03" w14:textId="77777777" w:rsidTr="001E2E94">
        <w:tc>
          <w:tcPr>
            <w:tcW w:w="9016" w:type="dxa"/>
          </w:tcPr>
          <w:p w14:paraId="024C3106" w14:textId="77777777" w:rsidR="00886CA9" w:rsidRDefault="00886CA9" w:rsidP="00886CA9">
            <w:pPr>
              <w:rPr>
                <w:rFonts w:cs="Arial"/>
                <w:sz w:val="20"/>
              </w:rPr>
            </w:pPr>
            <w:r w:rsidRPr="00DD4963">
              <w:rPr>
                <w:rFonts w:cs="Arial"/>
                <w:sz w:val="20"/>
              </w:rPr>
              <w:t>The commissioner and the commissioned service provider recognize that this service specification and/or associated recorded information may be subject to Freedom of Information Requests (FOI). Each party shall comply with any such Freedom of Information requests received, in accordance with the Freedom of Information Act 2000 legal obligations.</w:t>
            </w:r>
          </w:p>
          <w:p w14:paraId="0F206317" w14:textId="77777777" w:rsidR="00886CA9" w:rsidRPr="00FA34B0" w:rsidRDefault="00886CA9" w:rsidP="00886CA9">
            <w:pPr>
              <w:rPr>
                <w:rFonts w:cs="Arial"/>
                <w:sz w:val="20"/>
              </w:rPr>
            </w:pPr>
          </w:p>
        </w:tc>
      </w:tr>
      <w:tr w:rsidR="00886CA9" w:rsidRPr="00FA34B0" w14:paraId="2E3A355F" w14:textId="77777777" w:rsidTr="006969ED">
        <w:tc>
          <w:tcPr>
            <w:tcW w:w="9016" w:type="dxa"/>
            <w:shd w:val="clear" w:color="auto" w:fill="BFBFBF" w:themeFill="background1" w:themeFillShade="BF"/>
          </w:tcPr>
          <w:p w14:paraId="01D6F323" w14:textId="65473038" w:rsidR="00886CA9" w:rsidRPr="006969ED" w:rsidRDefault="00886CA9" w:rsidP="00886CA9">
            <w:pPr>
              <w:rPr>
                <w:rFonts w:cs="Arial"/>
                <w:b/>
                <w:bCs/>
                <w:sz w:val="20"/>
              </w:rPr>
            </w:pPr>
            <w:r w:rsidRPr="006969ED">
              <w:rPr>
                <w:rFonts w:cs="Arial"/>
                <w:b/>
                <w:bCs/>
                <w:sz w:val="20"/>
              </w:rPr>
              <w:t>14. Required Insurances</w:t>
            </w:r>
          </w:p>
        </w:tc>
      </w:tr>
      <w:tr w:rsidR="00886CA9" w:rsidRPr="00FA34B0" w14:paraId="751A102F" w14:textId="77777777" w:rsidTr="001E2E94">
        <w:tc>
          <w:tcPr>
            <w:tcW w:w="9016" w:type="dxa"/>
          </w:tcPr>
          <w:p w14:paraId="54F5540A" w14:textId="77777777" w:rsidR="0075374E" w:rsidRDefault="0075374E" w:rsidP="0075374E">
            <w:pPr>
              <w:numPr>
                <w:ilvl w:val="0"/>
                <w:numId w:val="26"/>
              </w:numPr>
              <w:suppressAutoHyphens w:val="0"/>
              <w:spacing w:line="276" w:lineRule="auto"/>
              <w:rPr>
                <w:rFonts w:cs="Arial"/>
                <w:sz w:val="20"/>
              </w:rPr>
            </w:pPr>
            <w:r>
              <w:rPr>
                <w:sz w:val="20"/>
              </w:rPr>
              <w:t>Employers Liability - £10m minimum</w:t>
            </w:r>
          </w:p>
          <w:p w14:paraId="62A5DC6C" w14:textId="77777777" w:rsidR="0075374E" w:rsidRDefault="0075374E" w:rsidP="0075374E">
            <w:pPr>
              <w:numPr>
                <w:ilvl w:val="0"/>
                <w:numId w:val="26"/>
              </w:numPr>
              <w:suppressAutoHyphens w:val="0"/>
              <w:spacing w:line="276" w:lineRule="auto"/>
              <w:rPr>
                <w:rFonts w:ascii="Calibri" w:hAnsi="Calibri" w:cs="Calibri"/>
                <w:sz w:val="20"/>
                <w14:ligatures w14:val="standardContextual"/>
              </w:rPr>
            </w:pPr>
            <w:r>
              <w:rPr>
                <w:sz w:val="20"/>
              </w:rPr>
              <w:t>Public Liability - £5m minimum</w:t>
            </w:r>
          </w:p>
          <w:p w14:paraId="1005FE71" w14:textId="77777777" w:rsidR="0075374E" w:rsidRDefault="0075374E" w:rsidP="0075374E">
            <w:pPr>
              <w:pStyle w:val="ListParagraph"/>
              <w:numPr>
                <w:ilvl w:val="0"/>
                <w:numId w:val="26"/>
              </w:numPr>
              <w:suppressAutoHyphens w:val="0"/>
              <w:contextualSpacing w:val="0"/>
              <w:jc w:val="left"/>
              <w:rPr>
                <w:sz w:val="22"/>
                <w:szCs w:val="22"/>
                <w:lang w:eastAsia="en-GB"/>
              </w:rPr>
            </w:pPr>
            <w:r>
              <w:rPr>
                <w:sz w:val="20"/>
              </w:rPr>
              <w:t>Professional Indemnity - £5m minimum</w:t>
            </w:r>
            <w:r>
              <w:rPr>
                <w:lang w:eastAsia="en-GB"/>
              </w:rPr>
              <w:t xml:space="preserve"> </w:t>
            </w:r>
          </w:p>
          <w:p w14:paraId="62FBE8AD" w14:textId="3B9EC61D" w:rsidR="007F7CD0" w:rsidRPr="00FA34B0" w:rsidRDefault="007F7CD0" w:rsidP="00EB362A">
            <w:pPr>
              <w:suppressAutoHyphens w:val="0"/>
              <w:spacing w:after="200" w:line="276" w:lineRule="auto"/>
              <w:contextualSpacing/>
              <w:rPr>
                <w:rFonts w:cs="Arial"/>
                <w:sz w:val="20"/>
              </w:rPr>
            </w:pPr>
          </w:p>
        </w:tc>
      </w:tr>
      <w:tr w:rsidR="00886CA9" w:rsidRPr="00FA34B0" w14:paraId="1C8CA53B" w14:textId="77777777" w:rsidTr="006969ED">
        <w:tc>
          <w:tcPr>
            <w:tcW w:w="9016" w:type="dxa"/>
            <w:shd w:val="clear" w:color="auto" w:fill="BFBFBF" w:themeFill="background1" w:themeFillShade="BF"/>
          </w:tcPr>
          <w:p w14:paraId="4563B111" w14:textId="4E1C687C" w:rsidR="00886CA9" w:rsidRPr="006969ED" w:rsidRDefault="00886CA9" w:rsidP="00886CA9">
            <w:pPr>
              <w:rPr>
                <w:rFonts w:cs="Arial"/>
                <w:b/>
                <w:bCs/>
                <w:sz w:val="20"/>
              </w:rPr>
            </w:pPr>
            <w:r w:rsidRPr="006969ED">
              <w:rPr>
                <w:rFonts w:cs="Arial"/>
                <w:b/>
                <w:bCs/>
                <w:sz w:val="20"/>
              </w:rPr>
              <w:t>15. Data Requirements and Record Keeping</w:t>
            </w:r>
          </w:p>
        </w:tc>
      </w:tr>
      <w:tr w:rsidR="00886CA9" w:rsidRPr="00FA34B0" w14:paraId="121409E0" w14:textId="77777777" w:rsidTr="001E2E94">
        <w:tc>
          <w:tcPr>
            <w:tcW w:w="9016" w:type="dxa"/>
          </w:tcPr>
          <w:p w14:paraId="47B45D2C" w14:textId="77777777" w:rsidR="00886CA9" w:rsidRDefault="00886CA9" w:rsidP="00886CA9">
            <w:pPr>
              <w:widowControl w:val="0"/>
              <w:ind w:right="396"/>
              <w:rPr>
                <w:rFonts w:cs="Arial"/>
                <w:snapToGrid w:val="0"/>
                <w:sz w:val="20"/>
              </w:rPr>
            </w:pPr>
            <w:r w:rsidRPr="00DD4963">
              <w:rPr>
                <w:rFonts w:cs="Arial"/>
                <w:snapToGrid w:val="0"/>
                <w:sz w:val="20"/>
              </w:rPr>
              <w:t>The service provider</w:t>
            </w:r>
            <w:r w:rsidRPr="00DD4963">
              <w:rPr>
                <w:rFonts w:cs="Arial"/>
                <w:b/>
                <w:snapToGrid w:val="0"/>
                <w:sz w:val="20"/>
              </w:rPr>
              <w:t xml:space="preserve"> </w:t>
            </w:r>
            <w:r w:rsidRPr="00DD4963">
              <w:rPr>
                <w:rFonts w:cs="Arial"/>
                <w:snapToGrid w:val="0"/>
                <w:sz w:val="20"/>
              </w:rPr>
              <w:t>undertakes that they shall:</w:t>
            </w:r>
          </w:p>
          <w:p w14:paraId="6D674E74" w14:textId="77777777" w:rsidR="00886CA9" w:rsidRPr="00DD4963" w:rsidRDefault="00886CA9" w:rsidP="00886CA9">
            <w:pPr>
              <w:widowControl w:val="0"/>
              <w:ind w:right="396"/>
              <w:rPr>
                <w:rFonts w:cs="Arial"/>
                <w:snapToGrid w:val="0"/>
                <w:sz w:val="20"/>
              </w:rPr>
            </w:pPr>
          </w:p>
          <w:p w14:paraId="2F39A071" w14:textId="77777777" w:rsidR="00886CA9" w:rsidRPr="00DD4963" w:rsidRDefault="00886CA9" w:rsidP="00886CA9">
            <w:pPr>
              <w:widowControl w:val="0"/>
              <w:tabs>
                <w:tab w:val="left" w:pos="720"/>
              </w:tabs>
              <w:ind w:left="1440" w:right="403" w:hanging="720"/>
              <w:rPr>
                <w:rFonts w:cs="Arial"/>
                <w:snapToGrid w:val="0"/>
                <w:sz w:val="20"/>
              </w:rPr>
            </w:pPr>
            <w:r w:rsidRPr="00DD4963">
              <w:rPr>
                <w:rFonts w:cs="Arial"/>
                <w:snapToGrid w:val="0"/>
                <w:sz w:val="20"/>
              </w:rPr>
              <w:t>(</w:t>
            </w:r>
            <w:proofErr w:type="spellStart"/>
            <w:r w:rsidRPr="00DD4963">
              <w:rPr>
                <w:rFonts w:cs="Arial"/>
                <w:snapToGrid w:val="0"/>
                <w:sz w:val="20"/>
              </w:rPr>
              <w:t>i</w:t>
            </w:r>
            <w:proofErr w:type="spellEnd"/>
            <w:r w:rsidRPr="00DD4963">
              <w:rPr>
                <w:rFonts w:cs="Arial"/>
                <w:snapToGrid w:val="0"/>
                <w:sz w:val="20"/>
              </w:rPr>
              <w:t>)</w:t>
            </w:r>
            <w:r w:rsidRPr="00DD4963">
              <w:rPr>
                <w:rFonts w:cs="Arial"/>
                <w:snapToGrid w:val="0"/>
                <w:sz w:val="20"/>
              </w:rPr>
              <w:tab/>
              <w:t>Keep all information concerning service users confidential.</w:t>
            </w:r>
          </w:p>
          <w:p w14:paraId="5F294ED8" w14:textId="45D5A9C9" w:rsidR="00886CA9" w:rsidRPr="00DD4963" w:rsidRDefault="00886CA9" w:rsidP="008D248E">
            <w:pPr>
              <w:widowControl w:val="0"/>
              <w:ind w:right="403"/>
              <w:rPr>
                <w:rFonts w:cs="Arial"/>
                <w:snapToGrid w:val="0"/>
                <w:sz w:val="20"/>
              </w:rPr>
            </w:pPr>
          </w:p>
          <w:p w14:paraId="4EC2A4A3" w14:textId="77777777" w:rsidR="00886CA9" w:rsidRPr="00DD4963" w:rsidRDefault="00886CA9" w:rsidP="00886CA9">
            <w:pPr>
              <w:widowControl w:val="0"/>
              <w:tabs>
                <w:tab w:val="left" w:pos="720"/>
              </w:tabs>
              <w:ind w:left="1440" w:right="403" w:hanging="720"/>
              <w:rPr>
                <w:rFonts w:cs="Arial"/>
                <w:snapToGrid w:val="0"/>
                <w:sz w:val="20"/>
              </w:rPr>
            </w:pPr>
          </w:p>
          <w:p w14:paraId="1C32D7D6" w14:textId="77777777" w:rsidR="00886CA9" w:rsidRPr="00DD4963" w:rsidRDefault="00886CA9" w:rsidP="00886CA9">
            <w:pPr>
              <w:widowControl w:val="0"/>
              <w:numPr>
                <w:ilvl w:val="0"/>
                <w:numId w:val="22"/>
              </w:numPr>
              <w:tabs>
                <w:tab w:val="left" w:pos="720"/>
              </w:tabs>
              <w:suppressAutoHyphens w:val="0"/>
              <w:ind w:right="403"/>
              <w:rPr>
                <w:rFonts w:cs="Arial"/>
                <w:snapToGrid w:val="0"/>
                <w:sz w:val="20"/>
              </w:rPr>
            </w:pPr>
            <w:r w:rsidRPr="00DD4963">
              <w:rPr>
                <w:rFonts w:cs="Arial"/>
                <w:snapToGrid w:val="0"/>
                <w:sz w:val="20"/>
              </w:rPr>
              <w:t>Provide a consultation area as defined in the community pharmacy contractual framework.</w:t>
            </w:r>
          </w:p>
          <w:p w14:paraId="658EDF51" w14:textId="77777777" w:rsidR="00886CA9" w:rsidRPr="00DD4963" w:rsidRDefault="00886CA9" w:rsidP="00886CA9">
            <w:pPr>
              <w:widowControl w:val="0"/>
              <w:tabs>
                <w:tab w:val="left" w:pos="720"/>
              </w:tabs>
              <w:ind w:left="720" w:right="403"/>
              <w:rPr>
                <w:rFonts w:cs="Arial"/>
                <w:snapToGrid w:val="0"/>
                <w:sz w:val="20"/>
              </w:rPr>
            </w:pPr>
          </w:p>
          <w:p w14:paraId="351A1792" w14:textId="1AF6E97D" w:rsidR="00886CA9" w:rsidRPr="00DD4963" w:rsidRDefault="00886CA9" w:rsidP="00886CA9">
            <w:pPr>
              <w:widowControl w:val="0"/>
              <w:numPr>
                <w:ilvl w:val="0"/>
                <w:numId w:val="22"/>
              </w:numPr>
              <w:tabs>
                <w:tab w:val="left" w:pos="720"/>
              </w:tabs>
              <w:suppressAutoHyphens w:val="0"/>
              <w:ind w:right="403"/>
              <w:rPr>
                <w:rFonts w:cs="Arial"/>
                <w:snapToGrid w:val="0"/>
                <w:sz w:val="20"/>
              </w:rPr>
            </w:pPr>
            <w:r w:rsidRPr="00DD4963">
              <w:rPr>
                <w:rFonts w:cs="Arial"/>
                <w:snapToGrid w:val="0"/>
                <w:sz w:val="20"/>
              </w:rPr>
              <w:t xml:space="preserve">Comply with the requirements of all legislation relevant to the service and in </w:t>
            </w:r>
            <w:r w:rsidRPr="00DD4963">
              <w:rPr>
                <w:rFonts w:cs="Arial"/>
                <w:snapToGrid w:val="0"/>
                <w:sz w:val="20"/>
              </w:rPr>
              <w:lastRenderedPageBreak/>
              <w:t>particular with the Data Protection Act</w:t>
            </w:r>
            <w:r w:rsidR="00243A2B">
              <w:rPr>
                <w:rFonts w:cs="Arial"/>
                <w:snapToGrid w:val="0"/>
                <w:sz w:val="20"/>
              </w:rPr>
              <w:t xml:space="preserve"> 2018</w:t>
            </w:r>
            <w:r w:rsidRPr="00DD4963">
              <w:rPr>
                <w:rFonts w:cs="Arial"/>
                <w:snapToGrid w:val="0"/>
                <w:sz w:val="20"/>
              </w:rPr>
              <w:t>, Human Rights Act 1998 and Freedom of Information Act 2000.</w:t>
            </w:r>
          </w:p>
          <w:p w14:paraId="4506FA28" w14:textId="77777777" w:rsidR="00886CA9" w:rsidRDefault="00886CA9" w:rsidP="00886CA9">
            <w:pPr>
              <w:autoSpaceDE w:val="0"/>
              <w:autoSpaceDN w:val="0"/>
              <w:adjustRightInd w:val="0"/>
              <w:rPr>
                <w:rFonts w:cs="Arial"/>
                <w:sz w:val="20"/>
                <w:lang w:val="en-US"/>
              </w:rPr>
            </w:pPr>
          </w:p>
          <w:p w14:paraId="37B79A43" w14:textId="77777777" w:rsidR="00886CA9" w:rsidRDefault="00886CA9" w:rsidP="00886CA9">
            <w:pPr>
              <w:autoSpaceDE w:val="0"/>
              <w:autoSpaceDN w:val="0"/>
              <w:adjustRightInd w:val="0"/>
              <w:rPr>
                <w:rFonts w:cs="Arial"/>
                <w:snapToGrid w:val="0"/>
                <w:sz w:val="20"/>
              </w:rPr>
            </w:pPr>
            <w:r w:rsidRPr="00DD4963">
              <w:rPr>
                <w:rFonts w:cs="Arial"/>
                <w:snapToGrid w:val="0"/>
                <w:sz w:val="20"/>
              </w:rPr>
              <w:t>Halton Borough Council may require the service provider</w:t>
            </w:r>
            <w:r w:rsidRPr="00DD4963">
              <w:rPr>
                <w:rFonts w:cs="Arial"/>
                <w:b/>
                <w:snapToGrid w:val="0"/>
                <w:sz w:val="20"/>
              </w:rPr>
              <w:t xml:space="preserve"> </w:t>
            </w:r>
            <w:r w:rsidRPr="00DD4963">
              <w:rPr>
                <w:rFonts w:cs="Arial"/>
                <w:snapToGrid w:val="0"/>
                <w:sz w:val="20"/>
              </w:rPr>
              <w:t>to supply it with any relevant information required to carry out monitoring and evaluation of the service.  Any service user information supplied can be anonymised where appropriate and will not be used for any purpose other than monitoring, evaluation and validation.</w:t>
            </w:r>
          </w:p>
          <w:p w14:paraId="17397396" w14:textId="77777777" w:rsidR="000A025C" w:rsidRPr="00FA34B0" w:rsidRDefault="000A025C" w:rsidP="00886CA9">
            <w:pPr>
              <w:contextualSpacing/>
              <w:rPr>
                <w:rFonts w:cs="Arial"/>
                <w:sz w:val="20"/>
              </w:rPr>
            </w:pPr>
          </w:p>
        </w:tc>
      </w:tr>
      <w:tr w:rsidR="00886CA9" w:rsidRPr="00FA34B0" w14:paraId="6787B9FF" w14:textId="77777777" w:rsidTr="006969ED">
        <w:tc>
          <w:tcPr>
            <w:tcW w:w="9016" w:type="dxa"/>
            <w:shd w:val="clear" w:color="auto" w:fill="BFBFBF" w:themeFill="background1" w:themeFillShade="BF"/>
          </w:tcPr>
          <w:p w14:paraId="15C5FD01" w14:textId="7B76F972" w:rsidR="00886CA9" w:rsidRPr="006969ED" w:rsidRDefault="00886CA9" w:rsidP="00886CA9">
            <w:pPr>
              <w:rPr>
                <w:rFonts w:cs="Arial"/>
                <w:b/>
                <w:bCs/>
                <w:sz w:val="20"/>
              </w:rPr>
            </w:pPr>
            <w:r w:rsidRPr="006969ED">
              <w:rPr>
                <w:rFonts w:cs="Arial"/>
                <w:b/>
                <w:bCs/>
                <w:sz w:val="20"/>
              </w:rPr>
              <w:lastRenderedPageBreak/>
              <w:t>16. Performance Monitoring</w:t>
            </w:r>
          </w:p>
        </w:tc>
      </w:tr>
      <w:tr w:rsidR="00886CA9" w:rsidRPr="00FA34B0" w14:paraId="6737E841" w14:textId="77777777" w:rsidTr="001E2E94">
        <w:tc>
          <w:tcPr>
            <w:tcW w:w="9016" w:type="dxa"/>
          </w:tcPr>
          <w:p w14:paraId="07FD2D64" w14:textId="77777777" w:rsidR="00886CA9" w:rsidRPr="00DD4963" w:rsidRDefault="00886CA9" w:rsidP="00886CA9">
            <w:pPr>
              <w:contextualSpacing/>
              <w:rPr>
                <w:rFonts w:cs="Arial"/>
                <w:sz w:val="20"/>
              </w:rPr>
            </w:pPr>
            <w:r w:rsidRPr="00DD4963">
              <w:rPr>
                <w:rFonts w:cs="Arial"/>
                <w:sz w:val="20"/>
              </w:rPr>
              <w:t xml:space="preserve">The service provider will have an NHS dispensing contract with NHS England and must fully comply with the National Pharmacy Contract regulations for delivery of Essential Services. </w:t>
            </w:r>
          </w:p>
          <w:p w14:paraId="16C30D01" w14:textId="77777777" w:rsidR="00886CA9" w:rsidRPr="00DD4963" w:rsidRDefault="00886CA9" w:rsidP="00886CA9">
            <w:pPr>
              <w:contextualSpacing/>
              <w:rPr>
                <w:rFonts w:cs="Arial"/>
                <w:sz w:val="20"/>
              </w:rPr>
            </w:pPr>
          </w:p>
          <w:p w14:paraId="53D69144" w14:textId="77777777" w:rsidR="00886CA9" w:rsidRPr="00DD4963" w:rsidRDefault="00886CA9" w:rsidP="00886CA9">
            <w:pPr>
              <w:contextualSpacing/>
              <w:rPr>
                <w:rFonts w:cs="Arial"/>
                <w:sz w:val="20"/>
              </w:rPr>
            </w:pPr>
            <w:r w:rsidRPr="00DD4963">
              <w:rPr>
                <w:rFonts w:cs="Arial"/>
                <w:sz w:val="20"/>
              </w:rPr>
              <w:t xml:space="preserve">Halton Borough Council retains the right to audit any part of the service provided by the service provider or the accredited pharmacist at any time to ensure continued quality. </w:t>
            </w:r>
          </w:p>
          <w:p w14:paraId="698FB67E" w14:textId="77777777" w:rsidR="00886CA9" w:rsidRPr="00DD4963" w:rsidRDefault="00886CA9" w:rsidP="00886CA9">
            <w:pPr>
              <w:contextualSpacing/>
              <w:rPr>
                <w:rFonts w:cs="Arial"/>
                <w:sz w:val="20"/>
              </w:rPr>
            </w:pPr>
          </w:p>
          <w:p w14:paraId="4958E2FA" w14:textId="77777777" w:rsidR="00886CA9" w:rsidRPr="00DD4963" w:rsidRDefault="00886CA9" w:rsidP="00886CA9">
            <w:pPr>
              <w:contextualSpacing/>
              <w:rPr>
                <w:rFonts w:cs="Arial"/>
                <w:sz w:val="20"/>
              </w:rPr>
            </w:pPr>
            <w:r w:rsidRPr="00DD4963">
              <w:rPr>
                <w:rFonts w:cs="Arial"/>
                <w:sz w:val="20"/>
              </w:rPr>
              <w:t>Halton Borough Council reserves the right to ask for evidence from the service provider that it is following the procedures outlined in this specification including anonymised patient records where appropriate.</w:t>
            </w:r>
          </w:p>
          <w:p w14:paraId="72087D8A" w14:textId="77777777" w:rsidR="00886CA9" w:rsidRPr="00DD4963" w:rsidRDefault="00886CA9" w:rsidP="00886CA9">
            <w:pPr>
              <w:contextualSpacing/>
              <w:rPr>
                <w:rFonts w:cs="Arial"/>
                <w:sz w:val="20"/>
              </w:rPr>
            </w:pPr>
          </w:p>
          <w:p w14:paraId="4AC5067A" w14:textId="77777777" w:rsidR="00886CA9" w:rsidRPr="00DD4963" w:rsidRDefault="00886CA9" w:rsidP="00886CA9">
            <w:pPr>
              <w:contextualSpacing/>
              <w:rPr>
                <w:rFonts w:cs="Arial"/>
                <w:sz w:val="20"/>
              </w:rPr>
            </w:pPr>
            <w:r w:rsidRPr="00DD4963">
              <w:rPr>
                <w:rFonts w:cs="Arial"/>
                <w:sz w:val="20"/>
              </w:rPr>
              <w:t>The service provider will co-operate with Halton Borough Council led assessment of service user experience or audit of the service in order to evaluate service provision and identify areas for service improvement.</w:t>
            </w:r>
          </w:p>
          <w:p w14:paraId="03964D2B" w14:textId="77777777" w:rsidR="00886CA9" w:rsidRPr="00DD4963" w:rsidRDefault="00886CA9" w:rsidP="00886CA9">
            <w:pPr>
              <w:contextualSpacing/>
              <w:rPr>
                <w:rFonts w:cs="Arial"/>
                <w:sz w:val="20"/>
              </w:rPr>
            </w:pPr>
          </w:p>
          <w:p w14:paraId="381B0BBD" w14:textId="77777777" w:rsidR="00886CA9" w:rsidRPr="00DD4963" w:rsidRDefault="00886CA9" w:rsidP="00886CA9">
            <w:pPr>
              <w:contextualSpacing/>
              <w:rPr>
                <w:rFonts w:cs="Arial"/>
                <w:sz w:val="20"/>
              </w:rPr>
            </w:pPr>
            <w:r w:rsidRPr="00DD4963">
              <w:rPr>
                <w:rFonts w:cs="Arial"/>
                <w:sz w:val="20"/>
              </w:rPr>
              <w:t xml:space="preserve">Halton Borough Council reserves the right to evaluate other health professionals’ perception of the overall quality of the service. </w:t>
            </w:r>
          </w:p>
          <w:p w14:paraId="009E3671" w14:textId="77777777" w:rsidR="00886CA9" w:rsidRPr="00DD4963" w:rsidRDefault="00886CA9" w:rsidP="00886CA9">
            <w:pPr>
              <w:contextualSpacing/>
              <w:rPr>
                <w:rFonts w:cs="Arial"/>
                <w:sz w:val="20"/>
              </w:rPr>
            </w:pPr>
          </w:p>
          <w:p w14:paraId="509B4C4A" w14:textId="79C7B54C" w:rsidR="00886CA9" w:rsidRDefault="00886CA9" w:rsidP="00886CA9">
            <w:pPr>
              <w:contextualSpacing/>
              <w:rPr>
                <w:rFonts w:cs="Arial"/>
                <w:sz w:val="20"/>
              </w:rPr>
            </w:pPr>
            <w:r w:rsidRPr="00DD4963">
              <w:rPr>
                <w:rFonts w:cs="Arial"/>
                <w:sz w:val="20"/>
              </w:rPr>
              <w:t xml:space="preserve">Changes to the level or quality of the service will not be introduced without prior agreement </w:t>
            </w:r>
            <w:r w:rsidR="00145A96">
              <w:rPr>
                <w:rFonts w:cs="Arial"/>
                <w:sz w:val="20"/>
              </w:rPr>
              <w:t>between the commissioner and the service provider.</w:t>
            </w:r>
            <w:r w:rsidRPr="00DD4963">
              <w:rPr>
                <w:rFonts w:cs="Arial"/>
                <w:sz w:val="20"/>
              </w:rPr>
              <w:t xml:space="preserve"> Changes will be authorised in writing.</w:t>
            </w:r>
          </w:p>
          <w:p w14:paraId="7D0FEE5A" w14:textId="77777777" w:rsidR="00886CA9" w:rsidRPr="00FA34B0" w:rsidRDefault="00886CA9" w:rsidP="00886CA9">
            <w:pPr>
              <w:contextualSpacing/>
              <w:rPr>
                <w:rFonts w:cs="Arial"/>
                <w:sz w:val="20"/>
              </w:rPr>
            </w:pPr>
          </w:p>
        </w:tc>
      </w:tr>
      <w:tr w:rsidR="00886CA9" w:rsidRPr="00FA34B0" w14:paraId="23A60F79" w14:textId="77777777" w:rsidTr="006969ED">
        <w:tc>
          <w:tcPr>
            <w:tcW w:w="9016" w:type="dxa"/>
            <w:shd w:val="clear" w:color="auto" w:fill="BFBFBF" w:themeFill="background1" w:themeFillShade="BF"/>
          </w:tcPr>
          <w:p w14:paraId="25DCD362" w14:textId="231A22FF" w:rsidR="00886CA9" w:rsidRPr="006969ED" w:rsidRDefault="00886CA9" w:rsidP="00886CA9">
            <w:pPr>
              <w:rPr>
                <w:rFonts w:cs="Arial"/>
                <w:b/>
                <w:bCs/>
                <w:sz w:val="20"/>
              </w:rPr>
            </w:pPr>
            <w:r w:rsidRPr="006969ED">
              <w:rPr>
                <w:rFonts w:cs="Arial"/>
                <w:b/>
                <w:bCs/>
                <w:sz w:val="20"/>
              </w:rPr>
              <w:t>17. Fees for Providing the Service</w:t>
            </w:r>
          </w:p>
        </w:tc>
      </w:tr>
      <w:tr w:rsidR="00886CA9" w:rsidRPr="00FA34B0" w14:paraId="0548AED1" w14:textId="77777777" w:rsidTr="001E2E94">
        <w:tc>
          <w:tcPr>
            <w:tcW w:w="9016" w:type="dxa"/>
          </w:tcPr>
          <w:p w14:paraId="61B7B92D" w14:textId="3AE4FD90" w:rsidR="00AA3F52" w:rsidRPr="00AA3F52" w:rsidRDefault="00AA3F52" w:rsidP="00AA3F52">
            <w:pPr>
              <w:rPr>
                <w:rFonts w:cs="Arial"/>
                <w:b/>
                <w:bCs/>
                <w:sz w:val="20"/>
              </w:rPr>
            </w:pPr>
            <w:r w:rsidRPr="00997B81">
              <w:rPr>
                <w:rFonts w:eastAsia="MS ??" w:cs="Arial"/>
                <w:b/>
                <w:sz w:val="22"/>
                <w:szCs w:val="22"/>
              </w:rPr>
              <w:t>Payments</w:t>
            </w:r>
          </w:p>
          <w:p w14:paraId="3550D72B" w14:textId="77777777" w:rsidR="00AA3F52" w:rsidRPr="00997B81" w:rsidRDefault="00AA3F52" w:rsidP="00AA3F52">
            <w:pPr>
              <w:rPr>
                <w:rFonts w:cs="Arial"/>
                <w:sz w:val="22"/>
                <w:szCs w:val="22"/>
              </w:rPr>
            </w:pPr>
          </w:p>
          <w:p w14:paraId="795B6389" w14:textId="797237D6" w:rsidR="00AA3F52" w:rsidRPr="001E115A" w:rsidRDefault="00AA3F52" w:rsidP="00AA3F52">
            <w:pPr>
              <w:pStyle w:val="ListParagraph"/>
              <w:numPr>
                <w:ilvl w:val="0"/>
                <w:numId w:val="24"/>
              </w:numPr>
              <w:contextualSpacing w:val="0"/>
              <w:rPr>
                <w:rFonts w:cs="Arial"/>
                <w:sz w:val="20"/>
              </w:rPr>
            </w:pPr>
            <w:r w:rsidRPr="001E115A">
              <w:rPr>
                <w:rFonts w:cs="Arial"/>
                <w:sz w:val="20"/>
              </w:rPr>
              <w:t>A payment of £</w:t>
            </w:r>
            <w:r w:rsidR="004312FB" w:rsidRPr="001E115A">
              <w:rPr>
                <w:rFonts w:cs="Arial"/>
                <w:sz w:val="20"/>
              </w:rPr>
              <w:t>1.80</w:t>
            </w:r>
            <w:r w:rsidRPr="001E115A">
              <w:rPr>
                <w:rFonts w:cs="Arial"/>
                <w:sz w:val="20"/>
              </w:rPr>
              <w:t xml:space="preserve"> will be made to the Provider for a transaction of one or more items exchanged.</w:t>
            </w:r>
          </w:p>
          <w:p w14:paraId="42067395" w14:textId="77777777" w:rsidR="00AA3F52" w:rsidRPr="001E115A" w:rsidRDefault="00AA3F52" w:rsidP="00AA3F52">
            <w:pPr>
              <w:pStyle w:val="ListParagraph"/>
              <w:rPr>
                <w:rFonts w:cs="Arial"/>
                <w:sz w:val="20"/>
              </w:rPr>
            </w:pPr>
          </w:p>
          <w:p w14:paraId="0C8CFBDD" w14:textId="5DD21A87" w:rsidR="00AA3F52" w:rsidRPr="001E115A" w:rsidRDefault="00AA3F52" w:rsidP="00AA3F52">
            <w:pPr>
              <w:pStyle w:val="ListParagraph"/>
              <w:numPr>
                <w:ilvl w:val="0"/>
                <w:numId w:val="24"/>
              </w:numPr>
              <w:contextualSpacing w:val="0"/>
              <w:rPr>
                <w:rFonts w:cs="Arial"/>
                <w:sz w:val="20"/>
              </w:rPr>
            </w:pPr>
            <w:r w:rsidRPr="001E115A">
              <w:rPr>
                <w:rFonts w:cs="Arial"/>
                <w:sz w:val="20"/>
              </w:rPr>
              <w:t>Pharmacies are eligible to claim a £3</w:t>
            </w:r>
            <w:r w:rsidR="004312FB" w:rsidRPr="001E115A">
              <w:rPr>
                <w:rFonts w:cs="Arial"/>
                <w:sz w:val="20"/>
              </w:rPr>
              <w:t>0</w:t>
            </w:r>
            <w:r w:rsidRPr="001E115A">
              <w:rPr>
                <w:rFonts w:cs="Arial"/>
                <w:sz w:val="20"/>
              </w:rPr>
              <w:t xml:space="preserve"> monthly retainer fee for providing needle and syringe programme provision locally.</w:t>
            </w:r>
          </w:p>
          <w:p w14:paraId="5FEB520D" w14:textId="77777777" w:rsidR="00AA3F52" w:rsidRDefault="00AA3F52" w:rsidP="00886CA9">
            <w:pPr>
              <w:rPr>
                <w:rFonts w:cs="Arial"/>
                <w:b/>
                <w:bCs/>
                <w:sz w:val="20"/>
              </w:rPr>
            </w:pPr>
          </w:p>
          <w:p w14:paraId="7165AB98" w14:textId="30A987A6" w:rsidR="00886CA9" w:rsidRDefault="00886CA9" w:rsidP="00886C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Halton Borough Council shall be entitled to suspend payment and/or vary the amount of the payment if it considers the </w:t>
            </w:r>
            <w:r w:rsidR="00416762">
              <w:rPr>
                <w:rStyle w:val="normaltextrun"/>
                <w:rFonts w:ascii="Arial" w:hAnsi="Arial" w:cs="Arial"/>
                <w:sz w:val="20"/>
                <w:szCs w:val="20"/>
              </w:rPr>
              <w:t>p</w:t>
            </w:r>
            <w:r>
              <w:rPr>
                <w:rStyle w:val="normaltextrun"/>
                <w:rFonts w:ascii="Arial" w:hAnsi="Arial" w:cs="Arial"/>
                <w:sz w:val="20"/>
                <w:szCs w:val="20"/>
              </w:rPr>
              <w:t xml:space="preserve">harmacy has committed a serious breach of the Agreement and shall forthwith notify the </w:t>
            </w:r>
            <w:r w:rsidR="00416762">
              <w:rPr>
                <w:rStyle w:val="normaltextrun"/>
                <w:rFonts w:ascii="Arial" w:hAnsi="Arial" w:cs="Arial"/>
                <w:sz w:val="20"/>
                <w:szCs w:val="20"/>
              </w:rPr>
              <w:t>p</w:t>
            </w:r>
            <w:r>
              <w:rPr>
                <w:rStyle w:val="normaltextrun"/>
                <w:rFonts w:ascii="Arial" w:hAnsi="Arial" w:cs="Arial"/>
                <w:sz w:val="20"/>
                <w:szCs w:val="20"/>
              </w:rPr>
              <w:t>harmacy in writing accordingly.</w:t>
            </w:r>
            <w:r>
              <w:rPr>
                <w:rStyle w:val="eop"/>
                <w:rFonts w:cs="Arial"/>
                <w:sz w:val="20"/>
              </w:rPr>
              <w:t> </w:t>
            </w:r>
          </w:p>
          <w:p w14:paraId="6474CDB1" w14:textId="77777777" w:rsidR="00886CA9" w:rsidRDefault="00886CA9" w:rsidP="00886CA9">
            <w:pPr>
              <w:pStyle w:val="paragraph"/>
              <w:spacing w:before="0" w:beforeAutospacing="0" w:after="0" w:afterAutospacing="0"/>
              <w:jc w:val="both"/>
              <w:textAlignment w:val="baseline"/>
              <w:rPr>
                <w:rFonts w:ascii="Segoe UI" w:hAnsi="Segoe UI" w:cs="Segoe UI"/>
                <w:sz w:val="18"/>
                <w:szCs w:val="18"/>
              </w:rPr>
            </w:pPr>
            <w:r>
              <w:rPr>
                <w:rStyle w:val="eop"/>
                <w:rFonts w:cs="Arial"/>
                <w:sz w:val="20"/>
              </w:rPr>
              <w:t> </w:t>
            </w:r>
          </w:p>
          <w:p w14:paraId="572E5E3D" w14:textId="3B522332" w:rsidR="00886CA9" w:rsidRPr="005D346F" w:rsidRDefault="00886CA9" w:rsidP="00886CA9">
            <w:pPr>
              <w:pStyle w:val="paragraph"/>
              <w:spacing w:before="0" w:beforeAutospacing="0" w:after="0" w:afterAutospacing="0"/>
              <w:jc w:val="both"/>
              <w:textAlignment w:val="baseline"/>
              <w:rPr>
                <w:rFonts w:ascii="Segoe UI" w:hAnsi="Segoe UI" w:cs="Segoe UI"/>
                <w:sz w:val="18"/>
                <w:szCs w:val="18"/>
              </w:rPr>
            </w:pPr>
            <w:r w:rsidRPr="005D346F">
              <w:rPr>
                <w:rStyle w:val="normaltextrun"/>
                <w:rFonts w:ascii="Arial" w:hAnsi="Arial" w:cs="Arial"/>
                <w:sz w:val="20"/>
                <w:szCs w:val="20"/>
              </w:rPr>
              <w:t>The service and payment may be varied or discontinued if a change in Halton Borough Council service priorities is required either by changes in legislation or by other circumstances.</w:t>
            </w:r>
            <w:r w:rsidRPr="005D346F">
              <w:rPr>
                <w:rStyle w:val="eop"/>
                <w:rFonts w:ascii="Arial" w:hAnsi="Arial" w:cs="Arial"/>
                <w:sz w:val="20"/>
                <w:szCs w:val="20"/>
              </w:rPr>
              <w:t> </w:t>
            </w:r>
            <w:r w:rsidR="00FC459D" w:rsidRPr="005D346F">
              <w:rPr>
                <w:rStyle w:val="eop"/>
                <w:rFonts w:ascii="Arial" w:hAnsi="Arial" w:cs="Arial"/>
                <w:sz w:val="20"/>
                <w:szCs w:val="20"/>
              </w:rPr>
              <w:t>Any changes made will be mutually agree</w:t>
            </w:r>
            <w:r w:rsidR="00097024" w:rsidRPr="005D346F">
              <w:rPr>
                <w:rStyle w:val="eop"/>
                <w:rFonts w:ascii="Arial" w:hAnsi="Arial" w:cs="Arial"/>
                <w:sz w:val="20"/>
                <w:szCs w:val="20"/>
              </w:rPr>
              <w:t>d between the commissioner and service provider.</w:t>
            </w:r>
          </w:p>
          <w:p w14:paraId="5A826CFA" w14:textId="77777777" w:rsidR="00886CA9" w:rsidRPr="00FA34B0" w:rsidRDefault="00886CA9" w:rsidP="00886CA9">
            <w:pPr>
              <w:rPr>
                <w:rFonts w:cs="Arial"/>
                <w:sz w:val="20"/>
              </w:rPr>
            </w:pPr>
          </w:p>
          <w:p w14:paraId="345E1533" w14:textId="77777777" w:rsidR="00886CA9" w:rsidRPr="00CE4201" w:rsidRDefault="00886CA9" w:rsidP="00886CA9">
            <w:pPr>
              <w:rPr>
                <w:rFonts w:cs="Arial"/>
                <w:b/>
                <w:bCs/>
                <w:sz w:val="20"/>
              </w:rPr>
            </w:pPr>
            <w:r w:rsidRPr="00CE4201">
              <w:rPr>
                <w:rFonts w:cs="Arial"/>
                <w:b/>
                <w:bCs/>
                <w:sz w:val="20"/>
              </w:rPr>
              <w:t>17.1.2 Payment arrangements</w:t>
            </w:r>
          </w:p>
          <w:p w14:paraId="3BF35B8F" w14:textId="2BA8AFB5" w:rsidR="00886CA9" w:rsidRDefault="00886CA9" w:rsidP="00886CA9">
            <w:pPr>
              <w:rPr>
                <w:rStyle w:val="normaltextrun"/>
                <w:rFonts w:eastAsia="MS ??"/>
                <w:color w:val="000000"/>
                <w:sz w:val="20"/>
                <w:shd w:val="clear" w:color="auto" w:fill="FFFFFF"/>
              </w:rPr>
            </w:pPr>
            <w:r>
              <w:rPr>
                <w:rStyle w:val="normaltextrun"/>
                <w:rFonts w:eastAsia="MS ??"/>
                <w:color w:val="000000"/>
                <w:sz w:val="20"/>
                <w:shd w:val="clear" w:color="auto" w:fill="FFFFFF"/>
              </w:rPr>
              <w:t xml:space="preserve">In all cases payment will be made monthly in arrears from the data you will have entered on </w:t>
            </w:r>
            <w:r w:rsidR="00992B21">
              <w:rPr>
                <w:rStyle w:val="normaltextrun"/>
                <w:rFonts w:eastAsia="MS ??"/>
                <w:color w:val="000000"/>
                <w:sz w:val="20"/>
                <w:shd w:val="clear" w:color="auto" w:fill="FFFFFF"/>
              </w:rPr>
              <w:t>PharmOutcomes</w:t>
            </w:r>
            <w:r>
              <w:rPr>
                <w:rStyle w:val="normaltextrun"/>
                <w:rFonts w:eastAsia="MS ??"/>
                <w:color w:val="000000"/>
                <w:sz w:val="20"/>
                <w:shd w:val="clear" w:color="auto" w:fill="FFFFFF"/>
              </w:rPr>
              <w:t xml:space="preserve">, </w:t>
            </w:r>
            <w:r w:rsidR="00992B21">
              <w:rPr>
                <w:rStyle w:val="normaltextrun"/>
                <w:rFonts w:eastAsia="MS ??"/>
                <w:color w:val="000000"/>
                <w:sz w:val="20"/>
                <w:shd w:val="clear" w:color="auto" w:fill="FFFFFF"/>
              </w:rPr>
              <w:t>PharmOutcomes</w:t>
            </w:r>
            <w:r>
              <w:rPr>
                <w:rStyle w:val="normaltextrun"/>
                <w:rFonts w:eastAsia="MS ??"/>
                <w:color w:val="000000"/>
                <w:sz w:val="20"/>
                <w:shd w:val="clear" w:color="auto" w:fill="FFFFFF"/>
              </w:rPr>
              <w:t xml:space="preserve"> is an online reporting mechanism.. All claims are subject to the validation of data input and authorization from a certifying officer. </w:t>
            </w:r>
          </w:p>
          <w:p w14:paraId="77F082B4" w14:textId="77777777" w:rsidR="00886CA9" w:rsidRPr="00FA34B0" w:rsidRDefault="00886CA9" w:rsidP="00886CA9">
            <w:pPr>
              <w:rPr>
                <w:rFonts w:cs="Arial"/>
                <w:sz w:val="20"/>
              </w:rPr>
            </w:pPr>
          </w:p>
          <w:p w14:paraId="1DF6E801" w14:textId="77777777" w:rsidR="00886CA9" w:rsidRDefault="00886CA9" w:rsidP="00886CA9">
            <w:pPr>
              <w:rPr>
                <w:rFonts w:cs="Arial"/>
                <w:b/>
                <w:bCs/>
                <w:sz w:val="20"/>
              </w:rPr>
            </w:pPr>
            <w:r w:rsidRPr="00CE4201">
              <w:rPr>
                <w:rFonts w:cs="Arial"/>
                <w:b/>
                <w:bCs/>
                <w:sz w:val="20"/>
              </w:rPr>
              <w:t>17.1.3 Terms of payment</w:t>
            </w:r>
          </w:p>
          <w:p w14:paraId="397F0DAC" w14:textId="77777777" w:rsidR="00886CA9" w:rsidRDefault="00886CA9" w:rsidP="00886CA9">
            <w:pPr>
              <w:rPr>
                <w:rStyle w:val="eop"/>
                <w:rFonts w:cs="Arial"/>
                <w:color w:val="000000"/>
                <w:sz w:val="20"/>
                <w:shd w:val="clear" w:color="auto" w:fill="FFFFFF"/>
              </w:rPr>
            </w:pPr>
            <w:r>
              <w:rPr>
                <w:rStyle w:val="normaltextrun"/>
                <w:rFonts w:cs="Arial"/>
                <w:color w:val="000000"/>
                <w:sz w:val="20"/>
                <w:shd w:val="clear" w:color="auto" w:fill="FFFFFF"/>
                <w:lang w:val="en-US"/>
              </w:rPr>
              <w:t xml:space="preserve">The only sums payable to the Provider for the provision of the Services shall be the Contract Price. All other costs, charges, </w:t>
            </w:r>
            <w:r>
              <w:rPr>
                <w:rStyle w:val="findhit"/>
                <w:rFonts w:cs="Arial"/>
                <w:color w:val="000000"/>
                <w:sz w:val="20"/>
                <w:shd w:val="clear" w:color="auto" w:fill="FFFFFF"/>
                <w:lang w:val="en-US"/>
              </w:rPr>
              <w:t>fee</w:t>
            </w:r>
            <w:r>
              <w:rPr>
                <w:rStyle w:val="normaltextrun"/>
                <w:rFonts w:cs="Arial"/>
                <w:color w:val="000000"/>
                <w:sz w:val="20"/>
                <w:shd w:val="clear" w:color="auto" w:fill="FFFFFF"/>
                <w:lang w:val="en-US"/>
              </w:rPr>
              <w:t>s and expenses of whatever kind arising out of or in connection with the Agreement shall be the responsibility of the Provider. </w:t>
            </w:r>
            <w:r>
              <w:rPr>
                <w:rStyle w:val="eop"/>
                <w:rFonts w:cs="Arial"/>
                <w:color w:val="000000"/>
                <w:sz w:val="20"/>
                <w:shd w:val="clear" w:color="auto" w:fill="FFFFFF"/>
              </w:rPr>
              <w:t> </w:t>
            </w:r>
          </w:p>
          <w:p w14:paraId="33314C4B" w14:textId="0C423114" w:rsidR="007F7CD0" w:rsidRPr="00CE4201" w:rsidRDefault="007F7CD0" w:rsidP="00886CA9">
            <w:pPr>
              <w:rPr>
                <w:rFonts w:cs="Arial"/>
                <w:b/>
                <w:bCs/>
                <w:sz w:val="20"/>
              </w:rPr>
            </w:pPr>
          </w:p>
        </w:tc>
      </w:tr>
    </w:tbl>
    <w:p w14:paraId="59C35A56" w14:textId="77777777" w:rsidR="001E2E94" w:rsidRPr="00FA34B0" w:rsidRDefault="001E2E94">
      <w:pPr>
        <w:rPr>
          <w:rFonts w:cs="Arial"/>
          <w:sz w:val="20"/>
        </w:rPr>
      </w:pPr>
    </w:p>
    <w:sectPr w:rsidR="001E2E94" w:rsidRPr="00FA34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6E94A" w14:textId="77777777" w:rsidR="00A81009" w:rsidRDefault="00A81009" w:rsidP="00ED3158">
      <w:r>
        <w:separator/>
      </w:r>
    </w:p>
  </w:endnote>
  <w:endnote w:type="continuationSeparator" w:id="0">
    <w:p w14:paraId="7AEFD85D" w14:textId="77777777" w:rsidR="00A81009" w:rsidRDefault="00A81009" w:rsidP="00ED3158">
      <w:r>
        <w:continuationSeparator/>
      </w:r>
    </w:p>
  </w:endnote>
  <w:endnote w:type="continuationNotice" w:id="1">
    <w:p w14:paraId="33E7EA8A" w14:textId="77777777" w:rsidR="00A81009" w:rsidRDefault="00A81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FF207" w14:textId="77777777" w:rsidR="00A81009" w:rsidRDefault="00A81009" w:rsidP="00ED3158">
      <w:r>
        <w:separator/>
      </w:r>
    </w:p>
  </w:footnote>
  <w:footnote w:type="continuationSeparator" w:id="0">
    <w:p w14:paraId="19EDD631" w14:textId="77777777" w:rsidR="00A81009" w:rsidRDefault="00A81009" w:rsidP="00ED3158">
      <w:r>
        <w:continuationSeparator/>
      </w:r>
    </w:p>
  </w:footnote>
  <w:footnote w:type="continuationNotice" w:id="1">
    <w:p w14:paraId="0823F5D0" w14:textId="77777777" w:rsidR="00A81009" w:rsidRDefault="00A810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C5E"/>
    <w:multiLevelType w:val="hybridMultilevel"/>
    <w:tmpl w:val="8B887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4642"/>
    <w:multiLevelType w:val="hybridMultilevel"/>
    <w:tmpl w:val="2874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43046"/>
    <w:multiLevelType w:val="hybridMultilevel"/>
    <w:tmpl w:val="5A6C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0B73"/>
    <w:multiLevelType w:val="multilevel"/>
    <w:tmpl w:val="BAC473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036DC"/>
    <w:multiLevelType w:val="hybridMultilevel"/>
    <w:tmpl w:val="3300E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56768640">
      <w:numFmt w:val="bullet"/>
      <w:lvlText w:val="•"/>
      <w:lvlJc w:val="left"/>
      <w:pPr>
        <w:ind w:left="2220" w:hanging="4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D2FDB"/>
    <w:multiLevelType w:val="hybridMultilevel"/>
    <w:tmpl w:val="B3C4EFD0"/>
    <w:lvl w:ilvl="0" w:tplc="FFFFFFFF">
      <w:start w:val="3"/>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A1C59FC"/>
    <w:multiLevelType w:val="hybridMultilevel"/>
    <w:tmpl w:val="D98E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34F15"/>
    <w:multiLevelType w:val="hybridMultilevel"/>
    <w:tmpl w:val="6E0E996A"/>
    <w:lvl w:ilvl="0" w:tplc="D90AE4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42746A"/>
    <w:multiLevelType w:val="hybridMultilevel"/>
    <w:tmpl w:val="18388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830C90"/>
    <w:multiLevelType w:val="hybridMultilevel"/>
    <w:tmpl w:val="37AE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249F8"/>
    <w:multiLevelType w:val="hybridMultilevel"/>
    <w:tmpl w:val="CDB67B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442D5A"/>
    <w:multiLevelType w:val="hybridMultilevel"/>
    <w:tmpl w:val="01B85F8A"/>
    <w:lvl w:ilvl="0" w:tplc="08090001">
      <w:start w:val="1"/>
      <w:numFmt w:val="bullet"/>
      <w:lvlText w:val=""/>
      <w:lvlJc w:val="left"/>
      <w:pPr>
        <w:ind w:left="720" w:hanging="360"/>
      </w:pPr>
      <w:rPr>
        <w:rFonts w:ascii="Symbol" w:hAnsi="Symbol" w:hint="default"/>
      </w:rPr>
    </w:lvl>
    <w:lvl w:ilvl="1" w:tplc="9A9AB28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407BF"/>
    <w:multiLevelType w:val="hybridMultilevel"/>
    <w:tmpl w:val="91BA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72B4B"/>
    <w:multiLevelType w:val="hybridMultilevel"/>
    <w:tmpl w:val="4B9E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E3A1B"/>
    <w:multiLevelType w:val="hybridMultilevel"/>
    <w:tmpl w:val="B49EAB5C"/>
    <w:lvl w:ilvl="0" w:tplc="08090001">
      <w:start w:val="1"/>
      <w:numFmt w:val="bullet"/>
      <w:lvlText w:val=""/>
      <w:lvlJc w:val="left"/>
      <w:pPr>
        <w:ind w:left="720" w:hanging="360"/>
      </w:pPr>
      <w:rPr>
        <w:rFonts w:ascii="Symbol" w:hAnsi="Symbol" w:hint="default"/>
      </w:rPr>
    </w:lvl>
    <w:lvl w:ilvl="1" w:tplc="531CE62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A7AC1"/>
    <w:multiLevelType w:val="multilevel"/>
    <w:tmpl w:val="266074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673F60"/>
    <w:multiLevelType w:val="hybridMultilevel"/>
    <w:tmpl w:val="2F5C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FA5346"/>
    <w:multiLevelType w:val="hybridMultilevel"/>
    <w:tmpl w:val="DBEED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6C5E38"/>
    <w:multiLevelType w:val="hybridMultilevel"/>
    <w:tmpl w:val="FD98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E52FE9"/>
    <w:multiLevelType w:val="hybridMultilevel"/>
    <w:tmpl w:val="7840A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468ED"/>
    <w:multiLevelType w:val="hybridMultilevel"/>
    <w:tmpl w:val="41F251EC"/>
    <w:lvl w:ilvl="0" w:tplc="08090001">
      <w:start w:val="1"/>
      <w:numFmt w:val="bullet"/>
      <w:lvlText w:val=""/>
      <w:lvlJc w:val="left"/>
      <w:pPr>
        <w:ind w:left="720" w:hanging="360"/>
      </w:pPr>
      <w:rPr>
        <w:rFonts w:ascii="Symbol" w:hAnsi="Symbol" w:hint="default"/>
      </w:rPr>
    </w:lvl>
    <w:lvl w:ilvl="1" w:tplc="485AF1A0">
      <w:start w:val="6"/>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442A0"/>
    <w:multiLevelType w:val="hybridMultilevel"/>
    <w:tmpl w:val="2A4A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B103F"/>
    <w:multiLevelType w:val="multilevel"/>
    <w:tmpl w:val="E5DCAE0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B327DF"/>
    <w:multiLevelType w:val="multilevel"/>
    <w:tmpl w:val="BDE45896"/>
    <w:lvl w:ilvl="0">
      <w:start w:val="1"/>
      <w:numFmt w:val="bullet"/>
      <w:lvlText w:val=""/>
      <w:lvlJc w:val="left"/>
      <w:pPr>
        <w:ind w:left="720" w:hanging="360"/>
      </w:pPr>
      <w:rPr>
        <w:rFonts w:ascii="Symbol" w:hAnsi="Symbol"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7D1E4673"/>
    <w:multiLevelType w:val="hybridMultilevel"/>
    <w:tmpl w:val="01A2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622D6"/>
    <w:multiLevelType w:val="hybridMultilevel"/>
    <w:tmpl w:val="1B16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151758">
    <w:abstractNumId w:val="22"/>
  </w:num>
  <w:num w:numId="2" w16cid:durableId="1325082472">
    <w:abstractNumId w:val="0"/>
  </w:num>
  <w:num w:numId="3" w16cid:durableId="494490995">
    <w:abstractNumId w:val="12"/>
  </w:num>
  <w:num w:numId="4" w16cid:durableId="2113281208">
    <w:abstractNumId w:val="17"/>
  </w:num>
  <w:num w:numId="5" w16cid:durableId="1452700397">
    <w:abstractNumId w:val="21"/>
  </w:num>
  <w:num w:numId="6" w16cid:durableId="1959947131">
    <w:abstractNumId w:val="11"/>
  </w:num>
  <w:num w:numId="7" w16cid:durableId="930623317">
    <w:abstractNumId w:val="16"/>
  </w:num>
  <w:num w:numId="8" w16cid:durableId="1280457750">
    <w:abstractNumId w:val="10"/>
  </w:num>
  <w:num w:numId="9" w16cid:durableId="2120561129">
    <w:abstractNumId w:val="8"/>
  </w:num>
  <w:num w:numId="10" w16cid:durableId="854923112">
    <w:abstractNumId w:val="25"/>
  </w:num>
  <w:num w:numId="11" w16cid:durableId="127012667">
    <w:abstractNumId w:val="18"/>
  </w:num>
  <w:num w:numId="12" w16cid:durableId="1696809501">
    <w:abstractNumId w:val="20"/>
  </w:num>
  <w:num w:numId="13" w16cid:durableId="252521099">
    <w:abstractNumId w:val="13"/>
  </w:num>
  <w:num w:numId="14" w16cid:durableId="1690907625">
    <w:abstractNumId w:val="14"/>
  </w:num>
  <w:num w:numId="15" w16cid:durableId="829637783">
    <w:abstractNumId w:val="4"/>
  </w:num>
  <w:num w:numId="16" w16cid:durableId="1785348212">
    <w:abstractNumId w:val="6"/>
  </w:num>
  <w:num w:numId="17" w16cid:durableId="1552813927">
    <w:abstractNumId w:val="23"/>
  </w:num>
  <w:num w:numId="18" w16cid:durableId="1218929706">
    <w:abstractNumId w:val="15"/>
  </w:num>
  <w:num w:numId="19" w16cid:durableId="1660620980">
    <w:abstractNumId w:val="3"/>
  </w:num>
  <w:num w:numId="20" w16cid:durableId="2055502785">
    <w:abstractNumId w:val="19"/>
  </w:num>
  <w:num w:numId="21" w16cid:durableId="116879597">
    <w:abstractNumId w:val="9"/>
  </w:num>
  <w:num w:numId="22" w16cid:durableId="1122529775">
    <w:abstractNumId w:val="5"/>
  </w:num>
  <w:num w:numId="23" w16cid:durableId="370426256">
    <w:abstractNumId w:val="24"/>
  </w:num>
  <w:num w:numId="24" w16cid:durableId="758451624">
    <w:abstractNumId w:val="1"/>
  </w:num>
  <w:num w:numId="25" w16cid:durableId="1422262858">
    <w:abstractNumId w:val="7"/>
  </w:num>
  <w:num w:numId="26" w16cid:durableId="407387024">
    <w:abstractNumId w:val="20"/>
  </w:num>
  <w:num w:numId="27" w16cid:durableId="1138260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94"/>
    <w:rsid w:val="00005FF9"/>
    <w:rsid w:val="00012E64"/>
    <w:rsid w:val="000430CB"/>
    <w:rsid w:val="00046D3D"/>
    <w:rsid w:val="0005599B"/>
    <w:rsid w:val="0005700E"/>
    <w:rsid w:val="00076FAA"/>
    <w:rsid w:val="000840E6"/>
    <w:rsid w:val="000853E5"/>
    <w:rsid w:val="00097024"/>
    <w:rsid w:val="000A025C"/>
    <w:rsid w:val="000A19F0"/>
    <w:rsid w:val="000A71FF"/>
    <w:rsid w:val="000A77F6"/>
    <w:rsid w:val="000C1DF1"/>
    <w:rsid w:val="000C1E15"/>
    <w:rsid w:val="000C346C"/>
    <w:rsid w:val="000D3C66"/>
    <w:rsid w:val="000D5C0C"/>
    <w:rsid w:val="0011113A"/>
    <w:rsid w:val="00115D67"/>
    <w:rsid w:val="00116CB7"/>
    <w:rsid w:val="001170D0"/>
    <w:rsid w:val="00124102"/>
    <w:rsid w:val="00131B78"/>
    <w:rsid w:val="00131F7E"/>
    <w:rsid w:val="00145A96"/>
    <w:rsid w:val="001601C7"/>
    <w:rsid w:val="001644DF"/>
    <w:rsid w:val="00167DAF"/>
    <w:rsid w:val="0017463E"/>
    <w:rsid w:val="0017605C"/>
    <w:rsid w:val="00180CC2"/>
    <w:rsid w:val="0018423E"/>
    <w:rsid w:val="001909D8"/>
    <w:rsid w:val="001A2A76"/>
    <w:rsid w:val="001A50B7"/>
    <w:rsid w:val="001B2D32"/>
    <w:rsid w:val="001C6518"/>
    <w:rsid w:val="001C73AC"/>
    <w:rsid w:val="001E0064"/>
    <w:rsid w:val="001E115A"/>
    <w:rsid w:val="001E2E94"/>
    <w:rsid w:val="001E310E"/>
    <w:rsid w:val="001F5A99"/>
    <w:rsid w:val="001F6E79"/>
    <w:rsid w:val="00203785"/>
    <w:rsid w:val="00231724"/>
    <w:rsid w:val="00233C3C"/>
    <w:rsid w:val="0023762E"/>
    <w:rsid w:val="00243A2B"/>
    <w:rsid w:val="00247767"/>
    <w:rsid w:val="00250512"/>
    <w:rsid w:val="00275264"/>
    <w:rsid w:val="002A0390"/>
    <w:rsid w:val="002A4447"/>
    <w:rsid w:val="002C36F2"/>
    <w:rsid w:val="002C499D"/>
    <w:rsid w:val="002C5782"/>
    <w:rsid w:val="002D4B01"/>
    <w:rsid w:val="002D5339"/>
    <w:rsid w:val="002D5FAA"/>
    <w:rsid w:val="002D7396"/>
    <w:rsid w:val="002E14BC"/>
    <w:rsid w:val="002F476C"/>
    <w:rsid w:val="00300D0C"/>
    <w:rsid w:val="00307B4D"/>
    <w:rsid w:val="00312F8F"/>
    <w:rsid w:val="00317D1C"/>
    <w:rsid w:val="00323CF5"/>
    <w:rsid w:val="00334A0F"/>
    <w:rsid w:val="00337826"/>
    <w:rsid w:val="003A6DD6"/>
    <w:rsid w:val="003A7017"/>
    <w:rsid w:val="003B5EFD"/>
    <w:rsid w:val="003C1839"/>
    <w:rsid w:val="003D0F8B"/>
    <w:rsid w:val="003E08EA"/>
    <w:rsid w:val="003F4D70"/>
    <w:rsid w:val="003F54B2"/>
    <w:rsid w:val="0040187C"/>
    <w:rsid w:val="00413BC2"/>
    <w:rsid w:val="00415FF7"/>
    <w:rsid w:val="00416762"/>
    <w:rsid w:val="004312FB"/>
    <w:rsid w:val="00465633"/>
    <w:rsid w:val="00467E05"/>
    <w:rsid w:val="004C45EF"/>
    <w:rsid w:val="004D086E"/>
    <w:rsid w:val="004E7BBE"/>
    <w:rsid w:val="00500E97"/>
    <w:rsid w:val="005235F6"/>
    <w:rsid w:val="005239A0"/>
    <w:rsid w:val="00530600"/>
    <w:rsid w:val="00545D37"/>
    <w:rsid w:val="00552A88"/>
    <w:rsid w:val="00555A13"/>
    <w:rsid w:val="005B2511"/>
    <w:rsid w:val="005B57A0"/>
    <w:rsid w:val="005C1C7C"/>
    <w:rsid w:val="005C1CF4"/>
    <w:rsid w:val="005C475E"/>
    <w:rsid w:val="005C786C"/>
    <w:rsid w:val="005C7C39"/>
    <w:rsid w:val="005D346F"/>
    <w:rsid w:val="005F27A5"/>
    <w:rsid w:val="006202D8"/>
    <w:rsid w:val="006227E4"/>
    <w:rsid w:val="00630220"/>
    <w:rsid w:val="00633AFB"/>
    <w:rsid w:val="006456D0"/>
    <w:rsid w:val="00650BD1"/>
    <w:rsid w:val="006554F3"/>
    <w:rsid w:val="00664006"/>
    <w:rsid w:val="006669CE"/>
    <w:rsid w:val="0067068F"/>
    <w:rsid w:val="00672F18"/>
    <w:rsid w:val="00673E68"/>
    <w:rsid w:val="006809CA"/>
    <w:rsid w:val="006860D5"/>
    <w:rsid w:val="00694AD3"/>
    <w:rsid w:val="006969ED"/>
    <w:rsid w:val="006A546D"/>
    <w:rsid w:val="006A6E04"/>
    <w:rsid w:val="006B0C18"/>
    <w:rsid w:val="006E472E"/>
    <w:rsid w:val="006F08D9"/>
    <w:rsid w:val="006F0CE9"/>
    <w:rsid w:val="007002D2"/>
    <w:rsid w:val="00715598"/>
    <w:rsid w:val="0072780D"/>
    <w:rsid w:val="007334F5"/>
    <w:rsid w:val="00743E87"/>
    <w:rsid w:val="0075374E"/>
    <w:rsid w:val="00755425"/>
    <w:rsid w:val="00757113"/>
    <w:rsid w:val="0076611D"/>
    <w:rsid w:val="007755F9"/>
    <w:rsid w:val="00784D5C"/>
    <w:rsid w:val="0079169D"/>
    <w:rsid w:val="00792058"/>
    <w:rsid w:val="007B506E"/>
    <w:rsid w:val="007B6876"/>
    <w:rsid w:val="007C53A4"/>
    <w:rsid w:val="007D73C4"/>
    <w:rsid w:val="007E599D"/>
    <w:rsid w:val="007F7CD0"/>
    <w:rsid w:val="00812EED"/>
    <w:rsid w:val="0081315E"/>
    <w:rsid w:val="00853C4B"/>
    <w:rsid w:val="00857B8A"/>
    <w:rsid w:val="00857E96"/>
    <w:rsid w:val="00873A5A"/>
    <w:rsid w:val="00884223"/>
    <w:rsid w:val="00886CA9"/>
    <w:rsid w:val="008925E3"/>
    <w:rsid w:val="008A3920"/>
    <w:rsid w:val="008C0438"/>
    <w:rsid w:val="008D248E"/>
    <w:rsid w:val="00904857"/>
    <w:rsid w:val="00911BC6"/>
    <w:rsid w:val="0091604E"/>
    <w:rsid w:val="00922E83"/>
    <w:rsid w:val="00940824"/>
    <w:rsid w:val="00943817"/>
    <w:rsid w:val="00957B59"/>
    <w:rsid w:val="00972AD3"/>
    <w:rsid w:val="00977641"/>
    <w:rsid w:val="009779B4"/>
    <w:rsid w:val="00992B21"/>
    <w:rsid w:val="009B066A"/>
    <w:rsid w:val="009C4F59"/>
    <w:rsid w:val="009E30EE"/>
    <w:rsid w:val="009E6B32"/>
    <w:rsid w:val="009F009C"/>
    <w:rsid w:val="00A053D8"/>
    <w:rsid w:val="00A227DA"/>
    <w:rsid w:val="00A4198C"/>
    <w:rsid w:val="00A4215C"/>
    <w:rsid w:val="00A42EB9"/>
    <w:rsid w:val="00A4505E"/>
    <w:rsid w:val="00A542C8"/>
    <w:rsid w:val="00A56D08"/>
    <w:rsid w:val="00A63241"/>
    <w:rsid w:val="00A647BB"/>
    <w:rsid w:val="00A71080"/>
    <w:rsid w:val="00A81009"/>
    <w:rsid w:val="00A83938"/>
    <w:rsid w:val="00A83C9A"/>
    <w:rsid w:val="00AA3F52"/>
    <w:rsid w:val="00AB03EF"/>
    <w:rsid w:val="00AC3990"/>
    <w:rsid w:val="00AD446D"/>
    <w:rsid w:val="00AE5CD7"/>
    <w:rsid w:val="00AF756D"/>
    <w:rsid w:val="00B0015A"/>
    <w:rsid w:val="00B02F96"/>
    <w:rsid w:val="00B075C5"/>
    <w:rsid w:val="00B32397"/>
    <w:rsid w:val="00B4073B"/>
    <w:rsid w:val="00B4459B"/>
    <w:rsid w:val="00B753CE"/>
    <w:rsid w:val="00B77A53"/>
    <w:rsid w:val="00BA0396"/>
    <w:rsid w:val="00BA6DBB"/>
    <w:rsid w:val="00BB19B1"/>
    <w:rsid w:val="00BB2A12"/>
    <w:rsid w:val="00BC5D13"/>
    <w:rsid w:val="00BF08F6"/>
    <w:rsid w:val="00BF1933"/>
    <w:rsid w:val="00BF6D3E"/>
    <w:rsid w:val="00C03FF0"/>
    <w:rsid w:val="00C14400"/>
    <w:rsid w:val="00C1569E"/>
    <w:rsid w:val="00C17E17"/>
    <w:rsid w:val="00C36334"/>
    <w:rsid w:val="00C65C94"/>
    <w:rsid w:val="00C84587"/>
    <w:rsid w:val="00C935D4"/>
    <w:rsid w:val="00CA452F"/>
    <w:rsid w:val="00CB4DE9"/>
    <w:rsid w:val="00CC38A6"/>
    <w:rsid w:val="00CD549D"/>
    <w:rsid w:val="00CE4201"/>
    <w:rsid w:val="00CE65B0"/>
    <w:rsid w:val="00CF19F9"/>
    <w:rsid w:val="00D01200"/>
    <w:rsid w:val="00D023D3"/>
    <w:rsid w:val="00D04498"/>
    <w:rsid w:val="00D116A8"/>
    <w:rsid w:val="00D11762"/>
    <w:rsid w:val="00D22832"/>
    <w:rsid w:val="00D40032"/>
    <w:rsid w:val="00D4762C"/>
    <w:rsid w:val="00D50048"/>
    <w:rsid w:val="00D51D88"/>
    <w:rsid w:val="00D552E5"/>
    <w:rsid w:val="00D63946"/>
    <w:rsid w:val="00D65F98"/>
    <w:rsid w:val="00D7264D"/>
    <w:rsid w:val="00D82F91"/>
    <w:rsid w:val="00D922D1"/>
    <w:rsid w:val="00D957F5"/>
    <w:rsid w:val="00D969A3"/>
    <w:rsid w:val="00DC7AD3"/>
    <w:rsid w:val="00DD27FA"/>
    <w:rsid w:val="00DE14CB"/>
    <w:rsid w:val="00DE7608"/>
    <w:rsid w:val="00DF328B"/>
    <w:rsid w:val="00DF77E4"/>
    <w:rsid w:val="00E078F2"/>
    <w:rsid w:val="00E26F8E"/>
    <w:rsid w:val="00E277CD"/>
    <w:rsid w:val="00E31F3C"/>
    <w:rsid w:val="00E42002"/>
    <w:rsid w:val="00E71874"/>
    <w:rsid w:val="00E92638"/>
    <w:rsid w:val="00EB362A"/>
    <w:rsid w:val="00EB4646"/>
    <w:rsid w:val="00EC287D"/>
    <w:rsid w:val="00EC699C"/>
    <w:rsid w:val="00ED3158"/>
    <w:rsid w:val="00EF73A0"/>
    <w:rsid w:val="00F03E72"/>
    <w:rsid w:val="00F70B06"/>
    <w:rsid w:val="00F82814"/>
    <w:rsid w:val="00F9234D"/>
    <w:rsid w:val="00FA34B0"/>
    <w:rsid w:val="00FB00E8"/>
    <w:rsid w:val="00FB2814"/>
    <w:rsid w:val="00FC459D"/>
    <w:rsid w:val="00FD1167"/>
    <w:rsid w:val="00FD1DF6"/>
    <w:rsid w:val="00FE335C"/>
    <w:rsid w:val="00FE3DFD"/>
    <w:rsid w:val="00FF098E"/>
    <w:rsid w:val="00FF5E5D"/>
    <w:rsid w:val="00FF5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5342"/>
  <w15:chartTrackingRefBased/>
  <w15:docId w15:val="{8C8F4808-EE48-4BDE-9FCE-26139914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94"/>
    <w:pPr>
      <w:suppressAutoHyphens/>
      <w:spacing w:after="0" w:line="240" w:lineRule="auto"/>
      <w:jc w:val="both"/>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2E94"/>
    <w:pPr>
      <w:suppressAutoHyphens w:val="0"/>
      <w:jc w:val="left"/>
    </w:pPr>
    <w:rPr>
      <w:rFonts w:eastAsia="MS ??" w:cs="Arial"/>
      <w:sz w:val="22"/>
      <w:szCs w:val="22"/>
    </w:rPr>
  </w:style>
  <w:style w:type="character" w:customStyle="1" w:styleId="BodyTextChar">
    <w:name w:val="Body Text Char"/>
    <w:basedOn w:val="DefaultParagraphFont"/>
    <w:link w:val="BodyText"/>
    <w:rsid w:val="001E2E94"/>
    <w:rPr>
      <w:rFonts w:ascii="Arial" w:eastAsia="MS ??" w:hAnsi="Arial" w:cs="Arial"/>
      <w:kern w:val="0"/>
      <w14:ligatures w14:val="none"/>
    </w:rPr>
  </w:style>
  <w:style w:type="table" w:styleId="TableGrid">
    <w:name w:val="Table Grid"/>
    <w:basedOn w:val="TableNormal"/>
    <w:uiPriority w:val="39"/>
    <w:rsid w:val="001E2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E2E94"/>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DD27FA"/>
    <w:rPr>
      <w:rFonts w:ascii="Arial" w:eastAsia="Times New Roman" w:hAnsi="Arial" w:cs="Times New Roman"/>
      <w:kern w:val="0"/>
      <w:sz w:val="24"/>
      <w:szCs w:val="20"/>
      <w14:ligatures w14:val="none"/>
    </w:rPr>
  </w:style>
  <w:style w:type="character" w:styleId="Hyperlink">
    <w:name w:val="Hyperlink"/>
    <w:uiPriority w:val="99"/>
    <w:rsid w:val="00972AD3"/>
    <w:rPr>
      <w:rFonts w:ascii="Arial" w:hAnsi="Arial" w:cs="Times New Roman"/>
      <w:color w:val="0000FF"/>
      <w:sz w:val="24"/>
      <w:u w:val="single"/>
    </w:rPr>
  </w:style>
  <w:style w:type="paragraph" w:customStyle="1" w:styleId="paragraph">
    <w:name w:val="paragraph"/>
    <w:basedOn w:val="Normal"/>
    <w:rsid w:val="00334A0F"/>
    <w:pPr>
      <w:suppressAutoHyphens w:val="0"/>
      <w:spacing w:before="100" w:beforeAutospacing="1" w:after="100" w:afterAutospacing="1"/>
      <w:jc w:val="left"/>
    </w:pPr>
    <w:rPr>
      <w:rFonts w:ascii="Times New Roman" w:hAnsi="Times New Roman"/>
      <w:szCs w:val="24"/>
      <w:lang w:eastAsia="en-GB"/>
    </w:rPr>
  </w:style>
  <w:style w:type="character" w:customStyle="1" w:styleId="normaltextrun">
    <w:name w:val="normaltextrun"/>
    <w:basedOn w:val="DefaultParagraphFont"/>
    <w:rsid w:val="00334A0F"/>
  </w:style>
  <w:style w:type="character" w:customStyle="1" w:styleId="eop">
    <w:name w:val="eop"/>
    <w:basedOn w:val="DefaultParagraphFont"/>
    <w:rsid w:val="00334A0F"/>
  </w:style>
  <w:style w:type="character" w:customStyle="1" w:styleId="findhit">
    <w:name w:val="findhit"/>
    <w:basedOn w:val="DefaultParagraphFont"/>
    <w:rsid w:val="007334F5"/>
  </w:style>
  <w:style w:type="paragraph" w:styleId="Header">
    <w:name w:val="header"/>
    <w:basedOn w:val="Normal"/>
    <w:link w:val="HeaderChar"/>
    <w:uiPriority w:val="99"/>
    <w:unhideWhenUsed/>
    <w:rsid w:val="00ED3158"/>
    <w:pPr>
      <w:tabs>
        <w:tab w:val="center" w:pos="4513"/>
        <w:tab w:val="right" w:pos="9026"/>
      </w:tabs>
    </w:pPr>
  </w:style>
  <w:style w:type="character" w:customStyle="1" w:styleId="HeaderChar">
    <w:name w:val="Header Char"/>
    <w:basedOn w:val="DefaultParagraphFont"/>
    <w:link w:val="Header"/>
    <w:uiPriority w:val="99"/>
    <w:rsid w:val="00ED3158"/>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ED3158"/>
    <w:pPr>
      <w:tabs>
        <w:tab w:val="center" w:pos="4513"/>
        <w:tab w:val="right" w:pos="9026"/>
      </w:tabs>
    </w:pPr>
  </w:style>
  <w:style w:type="character" w:customStyle="1" w:styleId="FooterChar">
    <w:name w:val="Footer Char"/>
    <w:basedOn w:val="DefaultParagraphFont"/>
    <w:link w:val="Footer"/>
    <w:uiPriority w:val="99"/>
    <w:rsid w:val="00ED3158"/>
    <w:rPr>
      <w:rFonts w:ascii="Arial" w:eastAsia="Times New Roman" w:hAnsi="Arial" w:cs="Times New Roman"/>
      <w:kern w:val="0"/>
      <w:sz w:val="24"/>
      <w:szCs w:val="20"/>
      <w14:ligatures w14:val="none"/>
    </w:rPr>
  </w:style>
  <w:style w:type="character" w:styleId="CommentReference">
    <w:name w:val="annotation reference"/>
    <w:basedOn w:val="DefaultParagraphFont"/>
    <w:uiPriority w:val="99"/>
    <w:semiHidden/>
    <w:unhideWhenUsed/>
    <w:rsid w:val="00FE335C"/>
    <w:rPr>
      <w:sz w:val="16"/>
      <w:szCs w:val="16"/>
    </w:rPr>
  </w:style>
  <w:style w:type="paragraph" w:customStyle="1" w:styleId="pf0">
    <w:name w:val="pf0"/>
    <w:basedOn w:val="Normal"/>
    <w:rsid w:val="00C84587"/>
    <w:pPr>
      <w:suppressAutoHyphens w:val="0"/>
      <w:spacing w:before="100" w:beforeAutospacing="1" w:after="100" w:afterAutospacing="1"/>
      <w:jc w:val="left"/>
    </w:pPr>
    <w:rPr>
      <w:rFonts w:ascii="Times New Roman" w:hAnsi="Times New Roman"/>
      <w:szCs w:val="24"/>
      <w:lang w:eastAsia="en-GB"/>
    </w:rPr>
  </w:style>
  <w:style w:type="character" w:customStyle="1" w:styleId="cf01">
    <w:name w:val="cf01"/>
    <w:basedOn w:val="DefaultParagraphFont"/>
    <w:rsid w:val="00C84587"/>
    <w:rPr>
      <w:rFonts w:ascii="Segoe UI" w:hAnsi="Segoe UI" w:cs="Segoe UI" w:hint="default"/>
      <w:b/>
      <w:bCs/>
      <w:sz w:val="18"/>
      <w:szCs w:val="18"/>
    </w:rPr>
  </w:style>
  <w:style w:type="character" w:customStyle="1" w:styleId="cf11">
    <w:name w:val="cf11"/>
    <w:basedOn w:val="DefaultParagraphFont"/>
    <w:rsid w:val="00C84587"/>
    <w:rPr>
      <w:rFonts w:ascii="Segoe UI" w:hAnsi="Segoe UI" w:cs="Segoe UI" w:hint="default"/>
      <w:b/>
      <w:bCs/>
      <w:sz w:val="18"/>
      <w:szCs w:val="18"/>
    </w:rPr>
  </w:style>
  <w:style w:type="character" w:customStyle="1" w:styleId="cf21">
    <w:name w:val="cf21"/>
    <w:basedOn w:val="DefaultParagraphFont"/>
    <w:rsid w:val="00C84587"/>
    <w:rPr>
      <w:rFonts w:ascii="Segoe UI" w:hAnsi="Segoe UI" w:cs="Segoe UI" w:hint="default"/>
      <w:color w:val="0000FF"/>
      <w:sz w:val="18"/>
      <w:szCs w:val="18"/>
      <w:u w:val="single"/>
    </w:rPr>
  </w:style>
  <w:style w:type="character" w:customStyle="1" w:styleId="cf31">
    <w:name w:val="cf31"/>
    <w:basedOn w:val="DefaultParagraphFont"/>
    <w:rsid w:val="00B0015A"/>
    <w:rPr>
      <w:rFonts w:ascii="Segoe UI" w:hAnsi="Segoe UI" w:cs="Segoe UI" w:hint="default"/>
      <w:b/>
      <w:bCs/>
      <w:i/>
      <w:iCs/>
      <w:sz w:val="18"/>
      <w:szCs w:val="18"/>
    </w:rPr>
  </w:style>
  <w:style w:type="paragraph" w:styleId="CommentText">
    <w:name w:val="annotation text"/>
    <w:basedOn w:val="Normal"/>
    <w:link w:val="CommentTextChar"/>
    <w:uiPriority w:val="99"/>
    <w:semiHidden/>
    <w:unhideWhenUsed/>
    <w:rsid w:val="00715598"/>
    <w:rPr>
      <w:sz w:val="20"/>
    </w:rPr>
  </w:style>
  <w:style w:type="character" w:customStyle="1" w:styleId="CommentTextChar">
    <w:name w:val="Comment Text Char"/>
    <w:basedOn w:val="DefaultParagraphFont"/>
    <w:link w:val="CommentText"/>
    <w:uiPriority w:val="99"/>
    <w:semiHidden/>
    <w:rsid w:val="00715598"/>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02502">
      <w:bodyDiv w:val="1"/>
      <w:marLeft w:val="0"/>
      <w:marRight w:val="0"/>
      <w:marTop w:val="0"/>
      <w:marBottom w:val="0"/>
      <w:divBdr>
        <w:top w:val="none" w:sz="0" w:space="0" w:color="auto"/>
        <w:left w:val="none" w:sz="0" w:space="0" w:color="auto"/>
        <w:bottom w:val="none" w:sz="0" w:space="0" w:color="auto"/>
        <w:right w:val="none" w:sz="0" w:space="0" w:color="auto"/>
      </w:divBdr>
    </w:div>
    <w:div w:id="551817873">
      <w:bodyDiv w:val="1"/>
      <w:marLeft w:val="0"/>
      <w:marRight w:val="0"/>
      <w:marTop w:val="0"/>
      <w:marBottom w:val="0"/>
      <w:divBdr>
        <w:top w:val="none" w:sz="0" w:space="0" w:color="auto"/>
        <w:left w:val="none" w:sz="0" w:space="0" w:color="auto"/>
        <w:bottom w:val="none" w:sz="0" w:space="0" w:color="auto"/>
        <w:right w:val="none" w:sz="0" w:space="0" w:color="auto"/>
      </w:divBdr>
    </w:div>
    <w:div w:id="712074601">
      <w:bodyDiv w:val="1"/>
      <w:marLeft w:val="0"/>
      <w:marRight w:val="0"/>
      <w:marTop w:val="0"/>
      <w:marBottom w:val="0"/>
      <w:divBdr>
        <w:top w:val="none" w:sz="0" w:space="0" w:color="auto"/>
        <w:left w:val="none" w:sz="0" w:space="0" w:color="auto"/>
        <w:bottom w:val="none" w:sz="0" w:space="0" w:color="auto"/>
        <w:right w:val="none" w:sz="0" w:space="0" w:color="auto"/>
      </w:divBdr>
      <w:divsChild>
        <w:div w:id="352416769">
          <w:marLeft w:val="0"/>
          <w:marRight w:val="0"/>
          <w:marTop w:val="0"/>
          <w:marBottom w:val="0"/>
          <w:divBdr>
            <w:top w:val="none" w:sz="0" w:space="0" w:color="auto"/>
            <w:left w:val="none" w:sz="0" w:space="0" w:color="auto"/>
            <w:bottom w:val="none" w:sz="0" w:space="0" w:color="auto"/>
            <w:right w:val="none" w:sz="0" w:space="0" w:color="auto"/>
          </w:divBdr>
        </w:div>
        <w:div w:id="1688025319">
          <w:marLeft w:val="0"/>
          <w:marRight w:val="0"/>
          <w:marTop w:val="0"/>
          <w:marBottom w:val="0"/>
          <w:divBdr>
            <w:top w:val="none" w:sz="0" w:space="0" w:color="auto"/>
            <w:left w:val="none" w:sz="0" w:space="0" w:color="auto"/>
            <w:bottom w:val="none" w:sz="0" w:space="0" w:color="auto"/>
            <w:right w:val="none" w:sz="0" w:space="0" w:color="auto"/>
          </w:divBdr>
        </w:div>
        <w:div w:id="484667152">
          <w:marLeft w:val="0"/>
          <w:marRight w:val="0"/>
          <w:marTop w:val="0"/>
          <w:marBottom w:val="0"/>
          <w:divBdr>
            <w:top w:val="none" w:sz="0" w:space="0" w:color="auto"/>
            <w:left w:val="none" w:sz="0" w:space="0" w:color="auto"/>
            <w:bottom w:val="none" w:sz="0" w:space="0" w:color="auto"/>
            <w:right w:val="none" w:sz="0" w:space="0" w:color="auto"/>
          </w:divBdr>
        </w:div>
        <w:div w:id="1810323992">
          <w:marLeft w:val="0"/>
          <w:marRight w:val="0"/>
          <w:marTop w:val="0"/>
          <w:marBottom w:val="0"/>
          <w:divBdr>
            <w:top w:val="none" w:sz="0" w:space="0" w:color="auto"/>
            <w:left w:val="none" w:sz="0" w:space="0" w:color="auto"/>
            <w:bottom w:val="none" w:sz="0" w:space="0" w:color="auto"/>
            <w:right w:val="none" w:sz="0" w:space="0" w:color="auto"/>
          </w:divBdr>
        </w:div>
        <w:div w:id="1860310937">
          <w:marLeft w:val="0"/>
          <w:marRight w:val="0"/>
          <w:marTop w:val="0"/>
          <w:marBottom w:val="0"/>
          <w:divBdr>
            <w:top w:val="none" w:sz="0" w:space="0" w:color="auto"/>
            <w:left w:val="none" w:sz="0" w:space="0" w:color="auto"/>
            <w:bottom w:val="none" w:sz="0" w:space="0" w:color="auto"/>
            <w:right w:val="none" w:sz="0" w:space="0" w:color="auto"/>
          </w:divBdr>
        </w:div>
        <w:div w:id="1701200709">
          <w:marLeft w:val="0"/>
          <w:marRight w:val="0"/>
          <w:marTop w:val="0"/>
          <w:marBottom w:val="0"/>
          <w:divBdr>
            <w:top w:val="none" w:sz="0" w:space="0" w:color="auto"/>
            <w:left w:val="none" w:sz="0" w:space="0" w:color="auto"/>
            <w:bottom w:val="none" w:sz="0" w:space="0" w:color="auto"/>
            <w:right w:val="none" w:sz="0" w:space="0" w:color="auto"/>
          </w:divBdr>
        </w:div>
        <w:div w:id="1153331997">
          <w:marLeft w:val="0"/>
          <w:marRight w:val="0"/>
          <w:marTop w:val="0"/>
          <w:marBottom w:val="0"/>
          <w:divBdr>
            <w:top w:val="none" w:sz="0" w:space="0" w:color="auto"/>
            <w:left w:val="none" w:sz="0" w:space="0" w:color="auto"/>
            <w:bottom w:val="none" w:sz="0" w:space="0" w:color="auto"/>
            <w:right w:val="none" w:sz="0" w:space="0" w:color="auto"/>
          </w:divBdr>
        </w:div>
        <w:div w:id="1009412103">
          <w:marLeft w:val="0"/>
          <w:marRight w:val="0"/>
          <w:marTop w:val="0"/>
          <w:marBottom w:val="0"/>
          <w:divBdr>
            <w:top w:val="none" w:sz="0" w:space="0" w:color="auto"/>
            <w:left w:val="none" w:sz="0" w:space="0" w:color="auto"/>
            <w:bottom w:val="none" w:sz="0" w:space="0" w:color="auto"/>
            <w:right w:val="none" w:sz="0" w:space="0" w:color="auto"/>
          </w:divBdr>
        </w:div>
        <w:div w:id="1804079480">
          <w:marLeft w:val="0"/>
          <w:marRight w:val="0"/>
          <w:marTop w:val="0"/>
          <w:marBottom w:val="0"/>
          <w:divBdr>
            <w:top w:val="none" w:sz="0" w:space="0" w:color="auto"/>
            <w:left w:val="none" w:sz="0" w:space="0" w:color="auto"/>
            <w:bottom w:val="none" w:sz="0" w:space="0" w:color="auto"/>
            <w:right w:val="none" w:sz="0" w:space="0" w:color="auto"/>
          </w:divBdr>
        </w:div>
      </w:divsChild>
    </w:div>
    <w:div w:id="1240021511">
      <w:bodyDiv w:val="1"/>
      <w:marLeft w:val="0"/>
      <w:marRight w:val="0"/>
      <w:marTop w:val="0"/>
      <w:marBottom w:val="0"/>
      <w:divBdr>
        <w:top w:val="none" w:sz="0" w:space="0" w:color="auto"/>
        <w:left w:val="none" w:sz="0" w:space="0" w:color="auto"/>
        <w:bottom w:val="none" w:sz="0" w:space="0" w:color="auto"/>
        <w:right w:val="none" w:sz="0" w:space="0" w:color="auto"/>
      </w:divBdr>
    </w:div>
    <w:div w:id="1452281580">
      <w:bodyDiv w:val="1"/>
      <w:marLeft w:val="0"/>
      <w:marRight w:val="0"/>
      <w:marTop w:val="0"/>
      <w:marBottom w:val="0"/>
      <w:divBdr>
        <w:top w:val="none" w:sz="0" w:space="0" w:color="auto"/>
        <w:left w:val="none" w:sz="0" w:space="0" w:color="auto"/>
        <w:bottom w:val="none" w:sz="0" w:space="0" w:color="auto"/>
        <w:right w:val="none" w:sz="0" w:space="0" w:color="auto"/>
      </w:divBdr>
    </w:div>
    <w:div w:id="1737432215">
      <w:bodyDiv w:val="1"/>
      <w:marLeft w:val="0"/>
      <w:marRight w:val="0"/>
      <w:marTop w:val="0"/>
      <w:marBottom w:val="0"/>
      <w:divBdr>
        <w:top w:val="none" w:sz="0" w:space="0" w:color="auto"/>
        <w:left w:val="none" w:sz="0" w:space="0" w:color="auto"/>
        <w:bottom w:val="none" w:sz="0" w:space="0" w:color="auto"/>
        <w:right w:val="none" w:sz="0" w:space="0" w:color="auto"/>
      </w:divBdr>
    </w:div>
    <w:div w:id="189126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pe.ac.uk/programmes/l?t=Addict-E-02&amp;evid=5309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pe.ac.uk/programmes/l?t=SubstanceEC-A-03&amp;evid=56790" TargetMode="External"/><Relationship Id="rId17" Type="http://schemas.openxmlformats.org/officeDocument/2006/relationships/hyperlink" Target="https://hcypsp.haltonsafeguarding.co.uk/procedures-guidance/" TargetMode="External"/><Relationship Id="rId2" Type="http://schemas.openxmlformats.org/officeDocument/2006/relationships/customXml" Target="../customXml/item2.xml"/><Relationship Id="rId16" Type="http://schemas.openxmlformats.org/officeDocument/2006/relationships/hyperlink" Target="https://hcypsp.haltonsafeguarding.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pe.ac.uk/programmes/l?t=Substance-E-02&amp;evid=53231" TargetMode="External"/><Relationship Id="rId5" Type="http://schemas.openxmlformats.org/officeDocument/2006/relationships/styles" Target="styles.xml"/><Relationship Id="rId15" Type="http://schemas.openxmlformats.org/officeDocument/2006/relationships/hyperlink" Target="http://www.ipedinfo.co.uk/index.html" TargetMode="External"/><Relationship Id="rId10" Type="http://schemas.openxmlformats.org/officeDocument/2006/relationships/hyperlink" Target="https://www.cppe.ac.uk/services/docs/needle%20and%20syringe%20programme%20(nsp).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rontiersharpsaf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98CA436BD1494DBB7A984C2A52B5BA" ma:contentTypeVersion="15" ma:contentTypeDescription="Create a new document." ma:contentTypeScope="" ma:versionID="fb4acf680a2dd3672c16b3a4840034d1">
  <xsd:schema xmlns:xsd="http://www.w3.org/2001/XMLSchema" xmlns:xs="http://www.w3.org/2001/XMLSchema" xmlns:p="http://schemas.microsoft.com/office/2006/metadata/properties" xmlns:ns2="e61f764c-0a04-487e-986d-5333bd60b83e" xmlns:ns3="9587d29d-9b85-47b5-a1d1-fa25f63d522b" targetNamespace="http://schemas.microsoft.com/office/2006/metadata/properties" ma:root="true" ma:fieldsID="e93890a51912f17e5f9be0745ed1dbc1" ns2:_="" ns3:_="">
    <xsd:import namespace="e61f764c-0a04-487e-986d-5333bd60b83e"/>
    <xsd:import namespace="9587d29d-9b85-47b5-a1d1-fa25f63d5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764c-0a04-487e-986d-5333bd60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27f4-b5ca-4aff-9e25-850b26588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7d29d-9b85-47b5-a1d1-fa25f63d52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c2d8e5-a5b1-4915-b00e-52ccf530b5bf}" ma:internalName="TaxCatchAll" ma:showField="CatchAllData" ma:web="9587d29d-9b85-47b5-a1d1-fa25f63d52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87d29d-9b85-47b5-a1d1-fa25f63d522b" xsi:nil="true"/>
    <lcf76f155ced4ddcb4097134ff3c332f xmlns="e61f764c-0a04-487e-986d-5333bd60b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56A8AF-14E9-4E4C-AB37-75E3C80686EB}">
  <ds:schemaRefs>
    <ds:schemaRef ds:uri="http://schemas.microsoft.com/sharepoint/v3/contenttype/forms"/>
  </ds:schemaRefs>
</ds:datastoreItem>
</file>

<file path=customXml/itemProps2.xml><?xml version="1.0" encoding="utf-8"?>
<ds:datastoreItem xmlns:ds="http://schemas.openxmlformats.org/officeDocument/2006/customXml" ds:itemID="{7C262D15-583D-46E7-9833-A27D7E208BE8}"/>
</file>

<file path=customXml/itemProps3.xml><?xml version="1.0" encoding="utf-8"?>
<ds:datastoreItem xmlns:ds="http://schemas.openxmlformats.org/officeDocument/2006/customXml" ds:itemID="{8BEBB481-C8A3-4E12-8DE1-4E6CC14C3CB2}">
  <ds:schemaRefs>
    <ds:schemaRef ds:uri="http://schemas.microsoft.com/office/2006/metadata/properties"/>
    <ds:schemaRef ds:uri="http://schemas.microsoft.com/office/infopath/2007/PartnerControls"/>
    <ds:schemaRef ds:uri="11de2e8c-2ace-4fa2-81b9-be6dc61deeaf"/>
    <ds:schemaRef ds:uri="ee137f64-5923-4905-a363-ef0496f536bb"/>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4784</Words>
  <Characters>27272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Evison</dc:creator>
  <cp:keywords/>
  <dc:description/>
  <cp:lastModifiedBy>Jayne Hardman</cp:lastModifiedBy>
  <cp:revision>7</cp:revision>
  <cp:lastPrinted>2024-01-23T08:37:00Z</cp:lastPrinted>
  <dcterms:created xsi:type="dcterms:W3CDTF">2025-01-20T14:57:00Z</dcterms:created>
  <dcterms:modified xsi:type="dcterms:W3CDTF">2025-02-19T14:36:00Z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0x0101003C98CA436BD1494DBB7A984C2A52B5BA</vt:lpwstr>
  </property>
  <property fmtid="{D5CDD505-2E9C-101B-9397-08002B2CF9AE}" pid="3" name="MediaServiceImageTags">
    <vt:lpwstr/>
  </property>
</Properties>
</file>