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9E82" w14:textId="781C9475" w:rsidR="001E2E94" w:rsidRPr="00FA34B0" w:rsidRDefault="001E2E94" w:rsidP="001E2E94">
      <w:pPr>
        <w:pStyle w:val="BodyText"/>
        <w:jc w:val="center"/>
        <w:rPr>
          <w:b/>
          <w:bCs/>
          <w:sz w:val="20"/>
          <w:szCs w:val="20"/>
        </w:rPr>
      </w:pPr>
      <w:r w:rsidRPr="00FA34B0">
        <w:rPr>
          <w:b/>
          <w:bCs/>
          <w:sz w:val="20"/>
          <w:szCs w:val="20"/>
        </w:rPr>
        <w:t>SERVICE SPECIFICATION</w:t>
      </w:r>
      <w:r w:rsidR="00957B59">
        <w:rPr>
          <w:b/>
          <w:bCs/>
          <w:sz w:val="20"/>
          <w:szCs w:val="20"/>
        </w:rPr>
        <w:t xml:space="preserve"> </w:t>
      </w:r>
    </w:p>
    <w:p w14:paraId="6FDDB465" w14:textId="77777777" w:rsidR="001E2E94" w:rsidRPr="00FA34B0" w:rsidRDefault="001E2E94" w:rsidP="001E2E94">
      <w:pPr>
        <w:keepNext/>
        <w:suppressAutoHyphens w:val="0"/>
        <w:jc w:val="center"/>
        <w:outlineLvl w:val="1"/>
        <w:rPr>
          <w:rFonts w:cs="Arial"/>
          <w:sz w:val="20"/>
        </w:rPr>
      </w:pPr>
    </w:p>
    <w:p w14:paraId="275E785C" w14:textId="77777777" w:rsidR="001E2E94" w:rsidRPr="00FA34B0" w:rsidRDefault="001E2E94" w:rsidP="001E2E94">
      <w:pPr>
        <w:spacing w:line="100" w:lineRule="exact"/>
        <w:rPr>
          <w:rFonts w:cs="Arial"/>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5988"/>
      </w:tblGrid>
      <w:tr w:rsidR="001E2E94" w:rsidRPr="00FA34B0" w14:paraId="4D9968A0" w14:textId="77777777" w:rsidTr="003573F3">
        <w:trPr>
          <w:trHeight w:val="284"/>
        </w:trPr>
        <w:tc>
          <w:tcPr>
            <w:tcW w:w="3028" w:type="dxa"/>
            <w:shd w:val="clear" w:color="auto" w:fill="808080" w:themeFill="background1" w:themeFillShade="80"/>
            <w:vAlign w:val="center"/>
          </w:tcPr>
          <w:p w14:paraId="6E3C2A06"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position w:val="1"/>
                <w:sz w:val="20"/>
                <w:lang w:eastAsia="en-GB"/>
              </w:rPr>
              <w:t>Service</w:t>
            </w:r>
            <w:r w:rsidRPr="00FA34B0">
              <w:rPr>
                <w:rFonts w:eastAsia="Calibri" w:cs="Arial"/>
                <w:b/>
                <w:color w:val="FFFFFF"/>
                <w:spacing w:val="-1"/>
                <w:position w:val="1"/>
                <w:sz w:val="20"/>
                <w:lang w:eastAsia="en-GB"/>
              </w:rPr>
              <w:t xml:space="preserve"> </w:t>
            </w:r>
            <w:r w:rsidRPr="00FA34B0">
              <w:rPr>
                <w:rFonts w:eastAsia="Calibri" w:cs="Arial"/>
                <w:b/>
                <w:color w:val="FFFFFF"/>
                <w:position w:val="1"/>
                <w:sz w:val="20"/>
                <w:lang w:eastAsia="en-GB"/>
              </w:rPr>
              <w:t>S</w:t>
            </w:r>
            <w:r w:rsidRPr="00FA34B0">
              <w:rPr>
                <w:rFonts w:eastAsia="Calibri" w:cs="Arial"/>
                <w:b/>
                <w:color w:val="FFFFFF"/>
                <w:spacing w:val="-1"/>
                <w:position w:val="1"/>
                <w:sz w:val="20"/>
                <w:lang w:eastAsia="en-GB"/>
              </w:rPr>
              <w:t>p</w:t>
            </w:r>
            <w:r w:rsidRPr="00FA34B0">
              <w:rPr>
                <w:rFonts w:eastAsia="Calibri" w:cs="Arial"/>
                <w:b/>
                <w:color w:val="FFFFFF"/>
                <w:position w:val="1"/>
                <w:sz w:val="20"/>
                <w:lang w:eastAsia="en-GB"/>
              </w:rPr>
              <w:t>ecific</w:t>
            </w:r>
            <w:r w:rsidRPr="00FA34B0">
              <w:rPr>
                <w:rFonts w:eastAsia="Calibri" w:cs="Arial"/>
                <w:b/>
                <w:color w:val="FFFFFF"/>
                <w:spacing w:val="-2"/>
                <w:position w:val="1"/>
                <w:sz w:val="20"/>
                <w:lang w:eastAsia="en-GB"/>
              </w:rPr>
              <w:t>a</w:t>
            </w:r>
            <w:r w:rsidRPr="00FA34B0">
              <w:rPr>
                <w:rFonts w:eastAsia="Calibri" w:cs="Arial"/>
                <w:b/>
                <w:color w:val="FFFFFF"/>
                <w:position w:val="1"/>
                <w:sz w:val="20"/>
                <w:lang w:eastAsia="en-GB"/>
              </w:rPr>
              <w:t>ti</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 xml:space="preserve">n </w:t>
            </w:r>
            <w:r w:rsidRPr="00FA34B0">
              <w:rPr>
                <w:rFonts w:eastAsia="Calibri" w:cs="Arial"/>
                <w:b/>
                <w:color w:val="FFFFFF"/>
                <w:spacing w:val="-3"/>
                <w:position w:val="1"/>
                <w:sz w:val="20"/>
                <w:lang w:eastAsia="en-GB"/>
              </w:rPr>
              <w:t>N</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 xml:space="preserve">. </w:t>
            </w:r>
          </w:p>
        </w:tc>
        <w:tc>
          <w:tcPr>
            <w:tcW w:w="5988" w:type="dxa"/>
            <w:shd w:val="clear" w:color="auto" w:fill="auto"/>
            <w:vAlign w:val="center"/>
          </w:tcPr>
          <w:p w14:paraId="152528C2" w14:textId="77777777" w:rsidR="001E2E94" w:rsidRPr="00FA34B0" w:rsidRDefault="001E2E94" w:rsidP="003573F3">
            <w:pPr>
              <w:widowControl w:val="0"/>
              <w:rPr>
                <w:rFonts w:eastAsia="Calibri" w:cs="Arial"/>
                <w:sz w:val="20"/>
                <w:lang w:eastAsia="en-GB"/>
              </w:rPr>
            </w:pPr>
            <w:r w:rsidRPr="00FA34B0">
              <w:rPr>
                <w:rFonts w:eastAsia="Calibri" w:cs="Arial"/>
                <w:sz w:val="20"/>
                <w:lang w:eastAsia="en-GB"/>
              </w:rPr>
              <w:t>N/A</w:t>
            </w:r>
          </w:p>
        </w:tc>
      </w:tr>
      <w:tr w:rsidR="001E2E94" w:rsidRPr="00FA34B0" w14:paraId="654DE98C" w14:textId="77777777" w:rsidTr="003573F3">
        <w:trPr>
          <w:trHeight w:val="284"/>
        </w:trPr>
        <w:tc>
          <w:tcPr>
            <w:tcW w:w="3028" w:type="dxa"/>
            <w:shd w:val="clear" w:color="auto" w:fill="808080" w:themeFill="background1" w:themeFillShade="80"/>
            <w:vAlign w:val="center"/>
          </w:tcPr>
          <w:p w14:paraId="114FAD47"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position w:val="1"/>
                <w:sz w:val="20"/>
                <w:lang w:eastAsia="en-GB"/>
              </w:rPr>
              <w:t>Service</w:t>
            </w:r>
          </w:p>
        </w:tc>
        <w:tc>
          <w:tcPr>
            <w:tcW w:w="5988" w:type="dxa"/>
            <w:shd w:val="clear" w:color="auto" w:fill="auto"/>
            <w:vAlign w:val="center"/>
          </w:tcPr>
          <w:p w14:paraId="38B72687" w14:textId="38DF885A" w:rsidR="001E2E94" w:rsidRPr="00FA34B0" w:rsidRDefault="00EC5C2A" w:rsidP="003573F3">
            <w:pPr>
              <w:widowControl w:val="0"/>
              <w:rPr>
                <w:rFonts w:eastAsia="Calibri" w:cs="Arial"/>
                <w:sz w:val="20"/>
                <w:lang w:eastAsia="en-GB"/>
              </w:rPr>
            </w:pPr>
            <w:r w:rsidRPr="00531B89">
              <w:rPr>
                <w:rFonts w:cs="Arial"/>
                <w:sz w:val="20"/>
              </w:rPr>
              <w:t>Nicotine Replacement Therapy in Community Pharmacy – The Voucher scheme</w:t>
            </w:r>
          </w:p>
        </w:tc>
      </w:tr>
      <w:tr w:rsidR="001E2E94" w:rsidRPr="00FA34B0" w14:paraId="67C11C35" w14:textId="77777777" w:rsidTr="003573F3">
        <w:trPr>
          <w:trHeight w:val="284"/>
        </w:trPr>
        <w:tc>
          <w:tcPr>
            <w:tcW w:w="3028" w:type="dxa"/>
            <w:shd w:val="clear" w:color="auto" w:fill="808080" w:themeFill="background1" w:themeFillShade="80"/>
            <w:vAlign w:val="center"/>
          </w:tcPr>
          <w:p w14:paraId="79059E43"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position w:val="1"/>
                <w:sz w:val="20"/>
                <w:lang w:eastAsia="en-GB"/>
              </w:rPr>
              <w:t>C</w:t>
            </w:r>
            <w:r w:rsidRPr="00FA34B0">
              <w:rPr>
                <w:rFonts w:eastAsia="Calibri" w:cs="Arial"/>
                <w:b/>
                <w:color w:val="FFFFFF"/>
                <w:spacing w:val="-1"/>
                <w:position w:val="1"/>
                <w:sz w:val="20"/>
                <w:lang w:eastAsia="en-GB"/>
              </w:rPr>
              <w:t>o</w:t>
            </w:r>
            <w:r w:rsidRPr="00FA34B0">
              <w:rPr>
                <w:rFonts w:eastAsia="Calibri" w:cs="Arial"/>
                <w:b/>
                <w:color w:val="FFFFFF"/>
                <w:spacing w:val="1"/>
                <w:position w:val="1"/>
                <w:sz w:val="20"/>
                <w:lang w:eastAsia="en-GB"/>
              </w:rPr>
              <w:t>mm</w:t>
            </w:r>
            <w:r w:rsidRPr="00FA34B0">
              <w:rPr>
                <w:rFonts w:eastAsia="Calibri" w:cs="Arial"/>
                <w:b/>
                <w:color w:val="FFFFFF"/>
                <w:position w:val="1"/>
                <w:sz w:val="20"/>
                <w:lang w:eastAsia="en-GB"/>
              </w:rPr>
              <w:t>i</w:t>
            </w:r>
            <w:r w:rsidRPr="00FA34B0">
              <w:rPr>
                <w:rFonts w:eastAsia="Calibri" w:cs="Arial"/>
                <w:b/>
                <w:color w:val="FFFFFF"/>
                <w:spacing w:val="-3"/>
                <w:position w:val="1"/>
                <w:sz w:val="20"/>
                <w:lang w:eastAsia="en-GB"/>
              </w:rPr>
              <w:t>s</w:t>
            </w:r>
            <w:r w:rsidRPr="00FA34B0">
              <w:rPr>
                <w:rFonts w:eastAsia="Calibri" w:cs="Arial"/>
                <w:b/>
                <w:color w:val="FFFFFF"/>
                <w:position w:val="1"/>
                <w:sz w:val="20"/>
                <w:lang w:eastAsia="en-GB"/>
              </w:rPr>
              <w:t>si</w:t>
            </w:r>
            <w:r w:rsidRPr="00FA34B0">
              <w:rPr>
                <w:rFonts w:eastAsia="Calibri" w:cs="Arial"/>
                <w:b/>
                <w:color w:val="FFFFFF"/>
                <w:spacing w:val="1"/>
                <w:position w:val="1"/>
                <w:sz w:val="20"/>
                <w:lang w:eastAsia="en-GB"/>
              </w:rPr>
              <w:t>o</w:t>
            </w:r>
            <w:r w:rsidRPr="00FA34B0">
              <w:rPr>
                <w:rFonts w:eastAsia="Calibri" w:cs="Arial"/>
                <w:b/>
                <w:color w:val="FFFFFF"/>
                <w:spacing w:val="-1"/>
                <w:position w:val="1"/>
                <w:sz w:val="20"/>
                <w:lang w:eastAsia="en-GB"/>
              </w:rPr>
              <w:t>n</w:t>
            </w:r>
            <w:r w:rsidRPr="00FA34B0">
              <w:rPr>
                <w:rFonts w:eastAsia="Calibri" w:cs="Arial"/>
                <w:b/>
                <w:color w:val="FFFFFF"/>
                <w:position w:val="1"/>
                <w:sz w:val="20"/>
                <w:lang w:eastAsia="en-GB"/>
              </w:rPr>
              <w:t>er</w:t>
            </w:r>
            <w:r w:rsidRPr="00FA34B0">
              <w:rPr>
                <w:rFonts w:eastAsia="Calibri" w:cs="Arial"/>
                <w:b/>
                <w:color w:val="FFFFFF"/>
                <w:spacing w:val="-2"/>
                <w:position w:val="1"/>
                <w:sz w:val="20"/>
                <w:lang w:eastAsia="en-GB"/>
              </w:rPr>
              <w:t xml:space="preserve"> </w:t>
            </w:r>
            <w:r w:rsidRPr="00FA34B0">
              <w:rPr>
                <w:rFonts w:eastAsia="Calibri" w:cs="Arial"/>
                <w:b/>
                <w:color w:val="FFFFFF"/>
                <w:spacing w:val="-1"/>
                <w:position w:val="1"/>
                <w:sz w:val="20"/>
                <w:lang w:eastAsia="en-GB"/>
              </w:rPr>
              <w:t>L</w:t>
            </w:r>
            <w:r w:rsidRPr="00FA34B0">
              <w:rPr>
                <w:rFonts w:eastAsia="Calibri" w:cs="Arial"/>
                <w:b/>
                <w:color w:val="FFFFFF"/>
                <w:position w:val="1"/>
                <w:sz w:val="20"/>
                <w:lang w:eastAsia="en-GB"/>
              </w:rPr>
              <w:t>ead</w:t>
            </w:r>
          </w:p>
        </w:tc>
        <w:tc>
          <w:tcPr>
            <w:tcW w:w="5988" w:type="dxa"/>
            <w:shd w:val="clear" w:color="auto" w:fill="auto"/>
            <w:vAlign w:val="center"/>
          </w:tcPr>
          <w:p w14:paraId="67955A96" w14:textId="77777777" w:rsidR="001E2E94" w:rsidRPr="00FA34B0" w:rsidRDefault="001E2E94" w:rsidP="003573F3">
            <w:pPr>
              <w:widowControl w:val="0"/>
              <w:rPr>
                <w:rFonts w:eastAsia="Calibri" w:cs="Arial"/>
                <w:sz w:val="20"/>
                <w:lang w:eastAsia="en-GB"/>
              </w:rPr>
            </w:pPr>
            <w:r w:rsidRPr="00FA34B0">
              <w:rPr>
                <w:rFonts w:cs="Arial"/>
                <w:sz w:val="20"/>
              </w:rPr>
              <w:t>Jayne Hardman</w:t>
            </w:r>
          </w:p>
        </w:tc>
      </w:tr>
      <w:tr w:rsidR="001E2E94" w:rsidRPr="00FA34B0" w14:paraId="20FF3E8C" w14:textId="77777777" w:rsidTr="003573F3">
        <w:trPr>
          <w:trHeight w:val="284"/>
        </w:trPr>
        <w:tc>
          <w:tcPr>
            <w:tcW w:w="3028" w:type="dxa"/>
            <w:shd w:val="clear" w:color="auto" w:fill="808080" w:themeFill="background1" w:themeFillShade="80"/>
            <w:vAlign w:val="center"/>
          </w:tcPr>
          <w:p w14:paraId="766416C9"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spacing w:val="1"/>
                <w:position w:val="1"/>
                <w:sz w:val="20"/>
                <w:lang w:eastAsia="en-GB"/>
              </w:rPr>
              <w:t>P</w:t>
            </w:r>
            <w:r w:rsidRPr="00FA34B0">
              <w:rPr>
                <w:rFonts w:eastAsia="Calibri" w:cs="Arial"/>
                <w:b/>
                <w:color w:val="FFFFFF"/>
                <w:position w:val="1"/>
                <w:sz w:val="20"/>
                <w:lang w:eastAsia="en-GB"/>
              </w:rPr>
              <w:t>r</w:t>
            </w:r>
            <w:r w:rsidRPr="00FA34B0">
              <w:rPr>
                <w:rFonts w:eastAsia="Calibri" w:cs="Arial"/>
                <w:b/>
                <w:color w:val="FFFFFF"/>
                <w:spacing w:val="-1"/>
                <w:position w:val="1"/>
                <w:sz w:val="20"/>
                <w:lang w:eastAsia="en-GB"/>
              </w:rPr>
              <w:t>o</w:t>
            </w:r>
            <w:r w:rsidRPr="00FA34B0">
              <w:rPr>
                <w:rFonts w:eastAsia="Calibri" w:cs="Arial"/>
                <w:b/>
                <w:color w:val="FFFFFF"/>
                <w:spacing w:val="1"/>
                <w:position w:val="1"/>
                <w:sz w:val="20"/>
                <w:lang w:eastAsia="en-GB"/>
              </w:rPr>
              <w:t>v</w:t>
            </w:r>
            <w:r w:rsidRPr="00FA34B0">
              <w:rPr>
                <w:rFonts w:eastAsia="Calibri" w:cs="Arial"/>
                <w:b/>
                <w:color w:val="FFFFFF"/>
                <w:position w:val="1"/>
                <w:sz w:val="20"/>
                <w:lang w:eastAsia="en-GB"/>
              </w:rPr>
              <w:t>i</w:t>
            </w:r>
            <w:r w:rsidRPr="00FA34B0">
              <w:rPr>
                <w:rFonts w:eastAsia="Calibri" w:cs="Arial"/>
                <w:b/>
                <w:color w:val="FFFFFF"/>
                <w:spacing w:val="-1"/>
                <w:position w:val="1"/>
                <w:sz w:val="20"/>
                <w:lang w:eastAsia="en-GB"/>
              </w:rPr>
              <w:t>d</w:t>
            </w:r>
            <w:r w:rsidRPr="00FA34B0">
              <w:rPr>
                <w:rFonts w:eastAsia="Calibri" w:cs="Arial"/>
                <w:b/>
                <w:color w:val="FFFFFF"/>
                <w:position w:val="1"/>
                <w:sz w:val="20"/>
                <w:lang w:eastAsia="en-GB"/>
              </w:rPr>
              <w:t>er</w:t>
            </w:r>
            <w:r w:rsidRPr="00FA34B0">
              <w:rPr>
                <w:rFonts w:eastAsia="Calibri" w:cs="Arial"/>
                <w:b/>
                <w:color w:val="FFFFFF"/>
                <w:spacing w:val="-1"/>
                <w:position w:val="1"/>
                <w:sz w:val="20"/>
                <w:lang w:eastAsia="en-GB"/>
              </w:rPr>
              <w:t xml:space="preserve"> </w:t>
            </w:r>
            <w:r w:rsidRPr="00FA34B0">
              <w:rPr>
                <w:rFonts w:eastAsia="Calibri" w:cs="Arial"/>
                <w:b/>
                <w:color w:val="FFFFFF"/>
                <w:spacing w:val="1"/>
                <w:position w:val="1"/>
                <w:sz w:val="20"/>
                <w:lang w:eastAsia="en-GB"/>
              </w:rPr>
              <w:t>L</w:t>
            </w:r>
            <w:r w:rsidRPr="00FA34B0">
              <w:rPr>
                <w:rFonts w:eastAsia="Calibri" w:cs="Arial"/>
                <w:b/>
                <w:color w:val="FFFFFF"/>
                <w:position w:val="1"/>
                <w:sz w:val="20"/>
                <w:lang w:eastAsia="en-GB"/>
              </w:rPr>
              <w:t>ead</w:t>
            </w:r>
          </w:p>
        </w:tc>
        <w:tc>
          <w:tcPr>
            <w:tcW w:w="5988" w:type="dxa"/>
            <w:shd w:val="clear" w:color="auto" w:fill="auto"/>
            <w:vAlign w:val="center"/>
          </w:tcPr>
          <w:p w14:paraId="78CB0EAF" w14:textId="77777777" w:rsidR="001E2E94" w:rsidRPr="00FA34B0" w:rsidRDefault="001E2E94" w:rsidP="003573F3">
            <w:pPr>
              <w:widowControl w:val="0"/>
              <w:rPr>
                <w:rFonts w:eastAsia="Calibri" w:cs="Arial"/>
                <w:sz w:val="20"/>
                <w:lang w:eastAsia="en-GB"/>
              </w:rPr>
            </w:pPr>
            <w:r w:rsidRPr="00FA34B0">
              <w:rPr>
                <w:rFonts w:cs="Arial"/>
                <w:sz w:val="20"/>
              </w:rPr>
              <w:t>Various</w:t>
            </w:r>
          </w:p>
        </w:tc>
      </w:tr>
      <w:tr w:rsidR="001E2E94" w:rsidRPr="00FA34B0" w14:paraId="7E389DBD" w14:textId="77777777" w:rsidTr="003573F3">
        <w:trPr>
          <w:trHeight w:val="284"/>
        </w:trPr>
        <w:tc>
          <w:tcPr>
            <w:tcW w:w="3028" w:type="dxa"/>
            <w:shd w:val="clear" w:color="auto" w:fill="808080" w:themeFill="background1" w:themeFillShade="80"/>
            <w:vAlign w:val="center"/>
          </w:tcPr>
          <w:p w14:paraId="7B0F34C8"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spacing w:val="1"/>
                <w:position w:val="1"/>
                <w:sz w:val="20"/>
                <w:lang w:eastAsia="en-GB"/>
              </w:rPr>
              <w:t>P</w:t>
            </w:r>
            <w:r w:rsidRPr="00FA34B0">
              <w:rPr>
                <w:rFonts w:eastAsia="Calibri" w:cs="Arial"/>
                <w:b/>
                <w:color w:val="FFFFFF"/>
                <w:position w:val="1"/>
                <w:sz w:val="20"/>
                <w:lang w:eastAsia="en-GB"/>
              </w:rPr>
              <w:t>er</w:t>
            </w:r>
            <w:r w:rsidRPr="00FA34B0">
              <w:rPr>
                <w:rFonts w:eastAsia="Calibri" w:cs="Arial"/>
                <w:b/>
                <w:color w:val="FFFFFF"/>
                <w:spacing w:val="-2"/>
                <w:position w:val="1"/>
                <w:sz w:val="20"/>
                <w:lang w:eastAsia="en-GB"/>
              </w:rPr>
              <w:t>i</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d</w:t>
            </w:r>
          </w:p>
        </w:tc>
        <w:tc>
          <w:tcPr>
            <w:tcW w:w="5988" w:type="dxa"/>
            <w:shd w:val="clear" w:color="auto" w:fill="auto"/>
            <w:vAlign w:val="center"/>
          </w:tcPr>
          <w:p w14:paraId="1168D824" w14:textId="18CE4643" w:rsidR="001E2E94" w:rsidRPr="00FA34B0" w:rsidRDefault="001E2E94" w:rsidP="003573F3">
            <w:pPr>
              <w:widowControl w:val="0"/>
              <w:rPr>
                <w:rFonts w:eastAsia="Calibri" w:cs="Arial"/>
                <w:sz w:val="20"/>
                <w:lang w:eastAsia="en-GB"/>
              </w:rPr>
            </w:pPr>
            <w:r w:rsidRPr="00FA34B0">
              <w:rPr>
                <w:rFonts w:cs="Arial"/>
                <w:sz w:val="20"/>
              </w:rPr>
              <w:t>01.04.24 – 31.03.2</w:t>
            </w:r>
            <w:r w:rsidR="00486A8A">
              <w:rPr>
                <w:rFonts w:cs="Arial"/>
                <w:sz w:val="20"/>
              </w:rPr>
              <w:t>5 Plus one</w:t>
            </w:r>
          </w:p>
        </w:tc>
      </w:tr>
      <w:tr w:rsidR="001E2E94" w:rsidRPr="00FA34B0" w14:paraId="0FBDE1CE" w14:textId="77777777" w:rsidTr="003573F3">
        <w:trPr>
          <w:trHeight w:val="284"/>
        </w:trPr>
        <w:tc>
          <w:tcPr>
            <w:tcW w:w="3028" w:type="dxa"/>
            <w:tcBorders>
              <w:bottom w:val="single" w:sz="4" w:space="0" w:color="auto"/>
            </w:tcBorders>
            <w:shd w:val="clear" w:color="auto" w:fill="808080" w:themeFill="background1" w:themeFillShade="80"/>
            <w:vAlign w:val="center"/>
          </w:tcPr>
          <w:p w14:paraId="5D08527F"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spacing w:val="1"/>
                <w:position w:val="1"/>
                <w:sz w:val="20"/>
                <w:lang w:eastAsia="en-GB"/>
              </w:rPr>
              <w:t>D</w:t>
            </w:r>
            <w:r w:rsidRPr="00FA34B0">
              <w:rPr>
                <w:rFonts w:eastAsia="Calibri" w:cs="Arial"/>
                <w:b/>
                <w:color w:val="FFFFFF"/>
                <w:position w:val="1"/>
                <w:sz w:val="20"/>
                <w:lang w:eastAsia="en-GB"/>
              </w:rPr>
              <w:t>ate</w:t>
            </w:r>
            <w:r w:rsidRPr="00FA34B0">
              <w:rPr>
                <w:rFonts w:eastAsia="Calibri" w:cs="Arial"/>
                <w:b/>
                <w:color w:val="FFFFFF"/>
                <w:spacing w:val="-1"/>
                <w:position w:val="1"/>
                <w:sz w:val="20"/>
                <w:lang w:eastAsia="en-GB"/>
              </w:rPr>
              <w:t xml:space="preserve"> </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f</w:t>
            </w:r>
            <w:r w:rsidRPr="00FA34B0">
              <w:rPr>
                <w:rFonts w:eastAsia="Calibri" w:cs="Arial"/>
                <w:b/>
                <w:color w:val="FFFFFF"/>
                <w:spacing w:val="-3"/>
                <w:position w:val="1"/>
                <w:sz w:val="20"/>
                <w:lang w:eastAsia="en-GB"/>
              </w:rPr>
              <w:t xml:space="preserve"> </w:t>
            </w:r>
            <w:r w:rsidRPr="00FA34B0">
              <w:rPr>
                <w:rFonts w:eastAsia="Calibri" w:cs="Arial"/>
                <w:b/>
                <w:color w:val="FFFFFF"/>
                <w:position w:val="1"/>
                <w:sz w:val="20"/>
                <w:lang w:eastAsia="en-GB"/>
              </w:rPr>
              <w:t>R</w:t>
            </w:r>
            <w:r w:rsidRPr="00FA34B0">
              <w:rPr>
                <w:rFonts w:eastAsia="Calibri" w:cs="Arial"/>
                <w:b/>
                <w:color w:val="FFFFFF"/>
                <w:spacing w:val="-1"/>
                <w:position w:val="1"/>
                <w:sz w:val="20"/>
                <w:lang w:eastAsia="en-GB"/>
              </w:rPr>
              <w:t>e</w:t>
            </w:r>
            <w:r w:rsidRPr="00FA34B0">
              <w:rPr>
                <w:rFonts w:eastAsia="Calibri" w:cs="Arial"/>
                <w:b/>
                <w:color w:val="FFFFFF"/>
                <w:spacing w:val="1"/>
                <w:position w:val="1"/>
                <w:sz w:val="20"/>
                <w:lang w:eastAsia="en-GB"/>
              </w:rPr>
              <w:t>v</w:t>
            </w:r>
            <w:r w:rsidRPr="00FA34B0">
              <w:rPr>
                <w:rFonts w:eastAsia="Calibri" w:cs="Arial"/>
                <w:b/>
                <w:color w:val="FFFFFF"/>
                <w:position w:val="1"/>
                <w:sz w:val="20"/>
                <w:lang w:eastAsia="en-GB"/>
              </w:rPr>
              <w:t>i</w:t>
            </w:r>
            <w:r w:rsidRPr="00FA34B0">
              <w:rPr>
                <w:rFonts w:eastAsia="Calibri" w:cs="Arial"/>
                <w:b/>
                <w:color w:val="FFFFFF"/>
                <w:spacing w:val="-2"/>
                <w:position w:val="1"/>
                <w:sz w:val="20"/>
                <w:lang w:eastAsia="en-GB"/>
              </w:rPr>
              <w:t>e</w:t>
            </w:r>
            <w:r w:rsidRPr="00FA34B0">
              <w:rPr>
                <w:rFonts w:eastAsia="Calibri" w:cs="Arial"/>
                <w:b/>
                <w:color w:val="FFFFFF"/>
                <w:position w:val="1"/>
                <w:sz w:val="20"/>
                <w:lang w:eastAsia="en-GB"/>
              </w:rPr>
              <w:t>w</w:t>
            </w:r>
          </w:p>
        </w:tc>
        <w:tc>
          <w:tcPr>
            <w:tcW w:w="5988" w:type="dxa"/>
            <w:tcBorders>
              <w:bottom w:val="single" w:sz="4" w:space="0" w:color="auto"/>
            </w:tcBorders>
            <w:shd w:val="clear" w:color="auto" w:fill="auto"/>
            <w:vAlign w:val="center"/>
          </w:tcPr>
          <w:p w14:paraId="2351AF46" w14:textId="3452750B" w:rsidR="001E2E94" w:rsidRPr="00FA34B0" w:rsidRDefault="001E2E94" w:rsidP="003573F3">
            <w:pPr>
              <w:widowControl w:val="0"/>
              <w:rPr>
                <w:rFonts w:eastAsia="Calibri" w:cs="Arial"/>
                <w:sz w:val="20"/>
                <w:lang w:eastAsia="en-GB"/>
              </w:rPr>
            </w:pPr>
            <w:r w:rsidRPr="00FA34B0">
              <w:rPr>
                <w:rFonts w:eastAsia="Calibri" w:cs="Arial"/>
                <w:sz w:val="20"/>
              </w:rPr>
              <w:t>Jan</w:t>
            </w:r>
            <w:r w:rsidR="00657929">
              <w:rPr>
                <w:rFonts w:eastAsia="Calibri" w:cs="Arial"/>
                <w:sz w:val="20"/>
              </w:rPr>
              <w:t>uary 20</w:t>
            </w:r>
            <w:r w:rsidRPr="00FA34B0">
              <w:rPr>
                <w:rFonts w:eastAsia="Calibri" w:cs="Arial"/>
                <w:sz w:val="20"/>
              </w:rPr>
              <w:t>26</w:t>
            </w:r>
          </w:p>
        </w:tc>
      </w:tr>
    </w:tbl>
    <w:p w14:paraId="1C522535" w14:textId="77777777" w:rsidR="00312F8F" w:rsidRPr="00FA34B0" w:rsidRDefault="00312F8F">
      <w:pPr>
        <w:rPr>
          <w:rFonts w:cs="Arial"/>
          <w:sz w:val="20"/>
        </w:rPr>
      </w:pPr>
    </w:p>
    <w:tbl>
      <w:tblPr>
        <w:tblStyle w:val="TableGrid"/>
        <w:tblW w:w="0" w:type="auto"/>
        <w:tblLook w:val="04A0" w:firstRow="1" w:lastRow="0" w:firstColumn="1" w:lastColumn="0" w:noHBand="0" w:noVBand="1"/>
      </w:tblPr>
      <w:tblGrid>
        <w:gridCol w:w="9016"/>
      </w:tblGrid>
      <w:tr w:rsidR="001E2E94" w:rsidRPr="00FA34B0" w14:paraId="58FAE87B" w14:textId="77777777" w:rsidTr="006969ED">
        <w:tc>
          <w:tcPr>
            <w:tcW w:w="9016" w:type="dxa"/>
            <w:shd w:val="clear" w:color="auto" w:fill="BFBFBF" w:themeFill="background1" w:themeFillShade="BF"/>
          </w:tcPr>
          <w:p w14:paraId="5F6FA432" w14:textId="1EC47320" w:rsidR="001E2E94" w:rsidRPr="00FA34B0" w:rsidRDefault="001E2E94" w:rsidP="001E2E94">
            <w:pPr>
              <w:rPr>
                <w:rFonts w:cs="Arial"/>
                <w:b/>
                <w:bCs/>
                <w:sz w:val="20"/>
              </w:rPr>
            </w:pPr>
            <w:r w:rsidRPr="00FA34B0">
              <w:rPr>
                <w:rFonts w:cs="Arial"/>
                <w:b/>
                <w:bCs/>
                <w:sz w:val="20"/>
              </w:rPr>
              <w:t>1. Population Needs</w:t>
            </w:r>
          </w:p>
        </w:tc>
      </w:tr>
      <w:tr w:rsidR="001E2E94" w:rsidRPr="00FA34B0" w14:paraId="4DE625CC" w14:textId="77777777" w:rsidTr="001E2E94">
        <w:tc>
          <w:tcPr>
            <w:tcW w:w="9016" w:type="dxa"/>
          </w:tcPr>
          <w:p w14:paraId="2D78C9CC" w14:textId="57493408" w:rsidR="001E2E94" w:rsidRPr="006969ED" w:rsidRDefault="001E2E94" w:rsidP="001E2E94">
            <w:pPr>
              <w:rPr>
                <w:rFonts w:cs="Arial"/>
                <w:b/>
                <w:bCs/>
                <w:sz w:val="20"/>
              </w:rPr>
            </w:pPr>
            <w:r w:rsidRPr="006969ED">
              <w:rPr>
                <w:rFonts w:cs="Arial"/>
                <w:b/>
                <w:bCs/>
                <w:sz w:val="20"/>
              </w:rPr>
              <w:t xml:space="preserve">1.1 National context </w:t>
            </w:r>
          </w:p>
          <w:p w14:paraId="4596FCF6" w14:textId="5DAFDEA3" w:rsidR="005946D5" w:rsidRPr="00531B89" w:rsidRDefault="005946D5" w:rsidP="005946D5">
            <w:pPr>
              <w:contextualSpacing/>
              <w:rPr>
                <w:rFonts w:cs="Arial"/>
                <w:sz w:val="20"/>
              </w:rPr>
            </w:pPr>
            <w:r w:rsidRPr="00531B89">
              <w:rPr>
                <w:rFonts w:cs="Arial"/>
                <w:sz w:val="20"/>
              </w:rPr>
              <w:t>Smoking remains the single largest cause of preventable illness and premature death in the UK despite efforts to de</w:t>
            </w:r>
            <w:r w:rsidR="001C2C15">
              <w:rPr>
                <w:rFonts w:cs="Arial"/>
                <w:sz w:val="20"/>
              </w:rPr>
              <w:t>-</w:t>
            </w:r>
            <w:r w:rsidRPr="00531B89">
              <w:rPr>
                <w:rFonts w:cs="Arial"/>
                <w:sz w:val="20"/>
              </w:rPr>
              <w:t>normalise smoking nationally which has contributed to significant reductions in the proportion of the population who smoke.</w:t>
            </w:r>
          </w:p>
          <w:p w14:paraId="4C73315F" w14:textId="77777777" w:rsidR="005946D5" w:rsidRPr="00531B89" w:rsidRDefault="005946D5" w:rsidP="005946D5">
            <w:pPr>
              <w:contextualSpacing/>
              <w:rPr>
                <w:rFonts w:cs="Arial"/>
                <w:sz w:val="20"/>
              </w:rPr>
            </w:pPr>
          </w:p>
          <w:p w14:paraId="7A39F8B4" w14:textId="77777777" w:rsidR="005946D5" w:rsidRPr="00531B89" w:rsidRDefault="005946D5" w:rsidP="005946D5">
            <w:pPr>
              <w:contextualSpacing/>
              <w:rPr>
                <w:rFonts w:cs="Arial"/>
                <w:sz w:val="20"/>
              </w:rPr>
            </w:pPr>
            <w:r w:rsidRPr="00531B89">
              <w:rPr>
                <w:rFonts w:cs="Arial"/>
                <w:sz w:val="20"/>
              </w:rPr>
              <w:t>Smoking prevalence is higher amongst routine and manual workers than for those in professional and managerial socio economic groups and people on low incomes have a significantly higher smoking rate.  There is also evidence to suggest that people in lower socio economic groups are likely to find it more difficult to quit without support.</w:t>
            </w:r>
          </w:p>
          <w:p w14:paraId="1D070083" w14:textId="77777777" w:rsidR="005946D5" w:rsidRPr="00531B89" w:rsidRDefault="005946D5" w:rsidP="005946D5">
            <w:pPr>
              <w:contextualSpacing/>
              <w:rPr>
                <w:rFonts w:cs="Arial"/>
                <w:sz w:val="20"/>
              </w:rPr>
            </w:pPr>
          </w:p>
          <w:p w14:paraId="312426CA" w14:textId="77777777" w:rsidR="00BB2A12" w:rsidRPr="00FA34B0" w:rsidRDefault="00BB2A12" w:rsidP="001E2E94">
            <w:pPr>
              <w:rPr>
                <w:rFonts w:cs="Arial"/>
                <w:sz w:val="20"/>
              </w:rPr>
            </w:pPr>
          </w:p>
          <w:p w14:paraId="5C1EC2EE" w14:textId="77777777" w:rsidR="001E2E94" w:rsidRDefault="001E2E94" w:rsidP="001E2E94">
            <w:pPr>
              <w:rPr>
                <w:rFonts w:cs="Arial"/>
                <w:b/>
                <w:bCs/>
                <w:sz w:val="20"/>
              </w:rPr>
            </w:pPr>
            <w:r w:rsidRPr="006969ED">
              <w:rPr>
                <w:rFonts w:cs="Arial"/>
                <w:b/>
                <w:bCs/>
                <w:sz w:val="20"/>
              </w:rPr>
              <w:t xml:space="preserve">1.2 Local context </w:t>
            </w:r>
          </w:p>
          <w:p w14:paraId="346E6F65" w14:textId="1513FC61" w:rsidR="007B7DAA" w:rsidRPr="007B7DAA" w:rsidRDefault="007B7DAA" w:rsidP="007B7DAA">
            <w:pPr>
              <w:rPr>
                <w:rFonts w:cs="Arial"/>
                <w:sz w:val="20"/>
              </w:rPr>
            </w:pPr>
            <w:r w:rsidRPr="007B7DAA">
              <w:rPr>
                <w:rFonts w:cs="Arial"/>
                <w:sz w:val="20"/>
              </w:rPr>
              <w:t xml:space="preserve">According to 2023 Annual Population Survey, the adult smoking prevalence in Halton was 14.6%, a reduction since 2011 when the percentage was estimated to be 22.9%. However, the percentage has increased from 13.3% in 2022. The England average in 2023 was 11.6%, with the worst rate in England being 22.3% and the best being 4.6%. </w:t>
            </w:r>
          </w:p>
          <w:p w14:paraId="0BB43BE7" w14:textId="77777777" w:rsidR="007B7DAA" w:rsidRPr="007B7DAA" w:rsidRDefault="007B7DAA" w:rsidP="007B7DAA">
            <w:pPr>
              <w:rPr>
                <w:rFonts w:cs="Arial"/>
                <w:sz w:val="20"/>
              </w:rPr>
            </w:pPr>
            <w:r w:rsidRPr="007B7DAA">
              <w:rPr>
                <w:rFonts w:cs="Arial"/>
                <w:sz w:val="20"/>
              </w:rPr>
              <w:t>Despite the increase in the percentage in 2023, the Halton figure is not significantly higher than the England average.</w:t>
            </w:r>
          </w:p>
          <w:p w14:paraId="2CB59A1D" w14:textId="6808BD1B" w:rsidR="00F82814" w:rsidRPr="00FA34B0" w:rsidRDefault="00F82814" w:rsidP="007B7DAA">
            <w:pPr>
              <w:rPr>
                <w:rFonts w:cs="Arial"/>
                <w:sz w:val="20"/>
              </w:rPr>
            </w:pPr>
          </w:p>
        </w:tc>
      </w:tr>
      <w:tr w:rsidR="001E2E94" w:rsidRPr="00FA34B0" w14:paraId="1B3BD82D" w14:textId="77777777" w:rsidTr="006969ED">
        <w:tc>
          <w:tcPr>
            <w:tcW w:w="9016" w:type="dxa"/>
            <w:shd w:val="clear" w:color="auto" w:fill="BFBFBF" w:themeFill="background1" w:themeFillShade="BF"/>
          </w:tcPr>
          <w:p w14:paraId="1144E618" w14:textId="0671FB40" w:rsidR="001E2E94" w:rsidRPr="006969ED" w:rsidRDefault="001E2E94">
            <w:pPr>
              <w:rPr>
                <w:rFonts w:cs="Arial"/>
                <w:b/>
                <w:bCs/>
                <w:sz w:val="20"/>
              </w:rPr>
            </w:pPr>
            <w:r w:rsidRPr="006969ED">
              <w:rPr>
                <w:rFonts w:cs="Arial"/>
                <w:b/>
                <w:bCs/>
                <w:sz w:val="20"/>
              </w:rPr>
              <w:t>2. Outcomes</w:t>
            </w:r>
          </w:p>
        </w:tc>
      </w:tr>
      <w:tr w:rsidR="001E2E94" w:rsidRPr="00FA34B0" w14:paraId="0BCA9D16" w14:textId="77777777" w:rsidTr="001E2E94">
        <w:tc>
          <w:tcPr>
            <w:tcW w:w="9016" w:type="dxa"/>
          </w:tcPr>
          <w:p w14:paraId="18541626" w14:textId="6CE26860" w:rsidR="00B37317" w:rsidRDefault="001F63E7" w:rsidP="001F63E7">
            <w:pPr>
              <w:rPr>
                <w:rFonts w:cs="Arial"/>
                <w:sz w:val="20"/>
              </w:rPr>
            </w:pPr>
            <w:r w:rsidRPr="00531B89">
              <w:rPr>
                <w:rFonts w:cs="Arial"/>
                <w:sz w:val="20"/>
              </w:rPr>
              <w:t>The service will make a significant contribution to the following objectives within the Public Health Outcomes Framewor</w:t>
            </w:r>
            <w:r w:rsidR="00B37317">
              <w:rPr>
                <w:rFonts w:cs="Arial"/>
                <w:sz w:val="20"/>
              </w:rPr>
              <w:t>k:</w:t>
            </w:r>
          </w:p>
          <w:p w14:paraId="3C4CC91F" w14:textId="77777777" w:rsidR="00B37317" w:rsidRPr="00513C57" w:rsidRDefault="00B37317" w:rsidP="001F63E7">
            <w:pPr>
              <w:rPr>
                <w:rFonts w:cs="Arial"/>
                <w:sz w:val="20"/>
              </w:rPr>
            </w:pPr>
          </w:p>
          <w:p w14:paraId="4118CEC8" w14:textId="7EC07974" w:rsidR="00B37317" w:rsidRPr="00513C57" w:rsidRDefault="00B37317" w:rsidP="00B37317">
            <w:pPr>
              <w:pStyle w:val="ListParagraph"/>
              <w:numPr>
                <w:ilvl w:val="0"/>
                <w:numId w:val="13"/>
              </w:numPr>
              <w:rPr>
                <w:rFonts w:cs="Arial"/>
                <w:sz w:val="20"/>
              </w:rPr>
            </w:pPr>
            <w:r w:rsidRPr="00513C57">
              <w:rPr>
                <w:rFonts w:cs="Arial"/>
                <w:sz w:val="20"/>
              </w:rPr>
              <w:t>E03 – Under 75 mortality rate from causes considered preventable</w:t>
            </w:r>
          </w:p>
          <w:p w14:paraId="075F5D5B" w14:textId="73426BBA" w:rsidR="00B37317" w:rsidRPr="00513C57" w:rsidRDefault="00B37317" w:rsidP="00B37317">
            <w:pPr>
              <w:pStyle w:val="ListParagraph"/>
              <w:numPr>
                <w:ilvl w:val="0"/>
                <w:numId w:val="13"/>
              </w:numPr>
              <w:rPr>
                <w:rFonts w:cs="Arial"/>
                <w:sz w:val="20"/>
              </w:rPr>
            </w:pPr>
            <w:r w:rsidRPr="00513C57">
              <w:rPr>
                <w:rFonts w:cs="Arial"/>
                <w:sz w:val="20"/>
              </w:rPr>
              <w:t>E07b – Under 75 mortality rate from respiratory disease considered preventable</w:t>
            </w:r>
          </w:p>
          <w:p w14:paraId="1A97EA2E" w14:textId="41CFD36F" w:rsidR="00B37317" w:rsidRPr="00513C57" w:rsidRDefault="00B37317" w:rsidP="00B37317">
            <w:pPr>
              <w:pStyle w:val="ListParagraph"/>
              <w:numPr>
                <w:ilvl w:val="0"/>
                <w:numId w:val="13"/>
              </w:numPr>
              <w:rPr>
                <w:rFonts w:cs="Arial"/>
                <w:sz w:val="20"/>
              </w:rPr>
            </w:pPr>
            <w:r w:rsidRPr="00513C57">
              <w:rPr>
                <w:rFonts w:cs="Arial"/>
                <w:sz w:val="20"/>
              </w:rPr>
              <w:t>C03c – Smoking in early pregnancy</w:t>
            </w:r>
          </w:p>
          <w:p w14:paraId="658B8257" w14:textId="538DB79B" w:rsidR="00B37317" w:rsidRPr="00513C57" w:rsidRDefault="00B37317" w:rsidP="00B37317">
            <w:pPr>
              <w:pStyle w:val="ListParagraph"/>
              <w:numPr>
                <w:ilvl w:val="0"/>
                <w:numId w:val="13"/>
              </w:numPr>
              <w:rPr>
                <w:rFonts w:cs="Arial"/>
                <w:sz w:val="20"/>
              </w:rPr>
            </w:pPr>
            <w:r w:rsidRPr="00513C57">
              <w:rPr>
                <w:rFonts w:cs="Arial"/>
                <w:sz w:val="20"/>
              </w:rPr>
              <w:t>C06 – Smoking status at time of delivery</w:t>
            </w:r>
          </w:p>
          <w:p w14:paraId="273191A0" w14:textId="49BC80A8" w:rsidR="00B37317" w:rsidRPr="00513C57" w:rsidRDefault="00B37317" w:rsidP="00B37317">
            <w:pPr>
              <w:pStyle w:val="ListParagraph"/>
              <w:numPr>
                <w:ilvl w:val="0"/>
                <w:numId w:val="13"/>
              </w:numPr>
              <w:rPr>
                <w:rFonts w:cs="Arial"/>
                <w:sz w:val="20"/>
              </w:rPr>
            </w:pPr>
            <w:r w:rsidRPr="00513C57">
              <w:rPr>
                <w:rFonts w:cs="Arial"/>
                <w:sz w:val="20"/>
              </w:rPr>
              <w:t>C18 – Smoking Prevalence in adults (aged 18 and over) – current smokers (APS)</w:t>
            </w:r>
          </w:p>
          <w:p w14:paraId="61E0E553" w14:textId="77777777" w:rsidR="001E2E94" w:rsidRPr="00131B78" w:rsidRDefault="001E2E94" w:rsidP="00B37317">
            <w:pPr>
              <w:widowControl w:val="0"/>
              <w:rPr>
                <w:rFonts w:cs="Arial"/>
                <w:sz w:val="20"/>
              </w:rPr>
            </w:pPr>
          </w:p>
        </w:tc>
      </w:tr>
      <w:tr w:rsidR="001E2E94" w:rsidRPr="00FA34B0" w14:paraId="4D44D88E" w14:textId="77777777" w:rsidTr="006969ED">
        <w:tc>
          <w:tcPr>
            <w:tcW w:w="9016" w:type="dxa"/>
            <w:shd w:val="clear" w:color="auto" w:fill="BFBFBF" w:themeFill="background1" w:themeFillShade="BF"/>
          </w:tcPr>
          <w:p w14:paraId="76F91919" w14:textId="64A33BE4" w:rsidR="001E2E94" w:rsidRPr="006969ED" w:rsidRDefault="001E2E94">
            <w:pPr>
              <w:rPr>
                <w:rFonts w:cs="Arial"/>
                <w:b/>
                <w:bCs/>
                <w:sz w:val="20"/>
              </w:rPr>
            </w:pPr>
            <w:r w:rsidRPr="006969ED">
              <w:rPr>
                <w:rFonts w:cs="Arial"/>
                <w:b/>
                <w:bCs/>
                <w:sz w:val="20"/>
              </w:rPr>
              <w:t>3. Overview</w:t>
            </w:r>
          </w:p>
        </w:tc>
      </w:tr>
      <w:tr w:rsidR="001E2E94" w:rsidRPr="00FA34B0" w14:paraId="2EBDB2F6" w14:textId="77777777" w:rsidTr="001E2E94">
        <w:tc>
          <w:tcPr>
            <w:tcW w:w="9016" w:type="dxa"/>
          </w:tcPr>
          <w:p w14:paraId="03703EDC" w14:textId="77777777" w:rsidR="001E2E94" w:rsidRPr="006969ED" w:rsidRDefault="001E2E94">
            <w:pPr>
              <w:rPr>
                <w:rFonts w:cs="Arial"/>
                <w:b/>
                <w:bCs/>
                <w:sz w:val="20"/>
              </w:rPr>
            </w:pPr>
            <w:r w:rsidRPr="006969ED">
              <w:rPr>
                <w:rFonts w:cs="Arial"/>
                <w:b/>
                <w:bCs/>
                <w:sz w:val="20"/>
              </w:rPr>
              <w:t>3.1 Scope</w:t>
            </w:r>
          </w:p>
          <w:p w14:paraId="377D7B92" w14:textId="18C690FD" w:rsidR="00BB19B1" w:rsidRDefault="00404F4A">
            <w:pPr>
              <w:rPr>
                <w:rFonts w:cs="Arial"/>
                <w:bCs/>
                <w:sz w:val="20"/>
              </w:rPr>
            </w:pPr>
            <w:r w:rsidRPr="00531B89">
              <w:rPr>
                <w:rFonts w:cs="Arial"/>
                <w:bCs/>
                <w:sz w:val="20"/>
              </w:rPr>
              <w:t xml:space="preserve">This contract relates solely to the provision of NRT and related support in exchange for vouchers via </w:t>
            </w:r>
            <w:r w:rsidR="007528C8">
              <w:rPr>
                <w:rFonts w:cs="Arial"/>
                <w:bCs/>
                <w:sz w:val="20"/>
              </w:rPr>
              <w:t>PharmOutcomes</w:t>
            </w:r>
            <w:r w:rsidRPr="00531B89">
              <w:rPr>
                <w:rFonts w:cs="Arial"/>
                <w:bCs/>
                <w:sz w:val="20"/>
              </w:rPr>
              <w:t xml:space="preserve">. </w:t>
            </w:r>
          </w:p>
          <w:p w14:paraId="59ABF95F" w14:textId="77777777" w:rsidR="005123C1" w:rsidRPr="00FA34B0" w:rsidRDefault="005123C1">
            <w:pPr>
              <w:rPr>
                <w:rFonts w:cs="Arial"/>
                <w:bCs/>
                <w:sz w:val="20"/>
              </w:rPr>
            </w:pPr>
          </w:p>
          <w:p w14:paraId="4EB9ED46" w14:textId="42D94A31" w:rsidR="001E2E94" w:rsidRPr="00BB19B1" w:rsidRDefault="001E2E94">
            <w:pPr>
              <w:rPr>
                <w:rFonts w:cs="Arial"/>
                <w:b/>
                <w:bCs/>
                <w:sz w:val="20"/>
              </w:rPr>
            </w:pPr>
            <w:r w:rsidRPr="00BB19B1">
              <w:rPr>
                <w:rFonts w:cs="Arial"/>
                <w:b/>
                <w:bCs/>
                <w:sz w:val="20"/>
              </w:rPr>
              <w:t xml:space="preserve">3.2 Aims and objectives of service </w:t>
            </w:r>
          </w:p>
          <w:p w14:paraId="55ECAF92" w14:textId="77777777" w:rsidR="00E17990" w:rsidRPr="00531B89" w:rsidRDefault="00E17990" w:rsidP="00E17990">
            <w:pPr>
              <w:rPr>
                <w:rFonts w:cs="Arial"/>
                <w:b/>
                <w:color w:val="009900"/>
                <w:sz w:val="20"/>
              </w:rPr>
            </w:pPr>
            <w:r w:rsidRPr="00531B89">
              <w:rPr>
                <w:rFonts w:cs="Arial"/>
                <w:bCs/>
                <w:sz w:val="20"/>
              </w:rPr>
              <w:t>This service aims to improve patient access to Stop Smoking Services using the existing network of community pharmacies.</w:t>
            </w:r>
          </w:p>
          <w:p w14:paraId="74185A2A" w14:textId="77777777" w:rsidR="00E17990" w:rsidRPr="00531B89" w:rsidRDefault="00E17990" w:rsidP="00760E1E">
            <w:pPr>
              <w:pStyle w:val="ListParagraph"/>
              <w:numPr>
                <w:ilvl w:val="0"/>
                <w:numId w:val="21"/>
              </w:numPr>
              <w:ind w:left="743" w:hanging="284"/>
              <w:rPr>
                <w:rFonts w:cs="Arial"/>
                <w:bCs/>
                <w:sz w:val="20"/>
              </w:rPr>
            </w:pPr>
            <w:r w:rsidRPr="00531B89">
              <w:rPr>
                <w:rFonts w:cs="Arial"/>
                <w:bCs/>
                <w:sz w:val="20"/>
              </w:rPr>
              <w:t>To improve access to Stop Smoking services and products.</w:t>
            </w:r>
          </w:p>
          <w:p w14:paraId="6547ED33" w14:textId="77777777" w:rsidR="00E17990" w:rsidRPr="00760E1E" w:rsidRDefault="00E17990" w:rsidP="00760E1E">
            <w:pPr>
              <w:pStyle w:val="ListParagraph"/>
              <w:numPr>
                <w:ilvl w:val="0"/>
                <w:numId w:val="21"/>
              </w:numPr>
              <w:ind w:left="743" w:hanging="284"/>
              <w:rPr>
                <w:rFonts w:cs="Arial"/>
                <w:bCs/>
                <w:sz w:val="20"/>
              </w:rPr>
            </w:pPr>
            <w:r w:rsidRPr="00760E1E">
              <w:rPr>
                <w:rFonts w:cs="Arial"/>
                <w:bCs/>
                <w:sz w:val="20"/>
              </w:rPr>
              <w:t>To assist in the delivery of local smoking cessation targets.</w:t>
            </w:r>
          </w:p>
          <w:p w14:paraId="1363A5C1" w14:textId="77777777" w:rsidR="00E17990" w:rsidRPr="00531B89" w:rsidRDefault="00E17990" w:rsidP="00E17990">
            <w:pPr>
              <w:pStyle w:val="ListParagraph"/>
              <w:numPr>
                <w:ilvl w:val="0"/>
                <w:numId w:val="3"/>
              </w:numPr>
              <w:ind w:hanging="283"/>
              <w:rPr>
                <w:rFonts w:cs="Arial"/>
                <w:bCs/>
                <w:sz w:val="20"/>
              </w:rPr>
            </w:pPr>
            <w:r w:rsidRPr="00531B89">
              <w:rPr>
                <w:rFonts w:cs="Arial"/>
                <w:bCs/>
                <w:sz w:val="20"/>
              </w:rPr>
              <w:t xml:space="preserve">To reduce smoking related illnesses and deaths by helping people to give up smoking. </w:t>
            </w:r>
          </w:p>
          <w:p w14:paraId="70DAA9FD" w14:textId="77777777" w:rsidR="00E17990" w:rsidRPr="00531B89" w:rsidRDefault="00E17990" w:rsidP="00E17990">
            <w:pPr>
              <w:pStyle w:val="ListParagraph"/>
              <w:numPr>
                <w:ilvl w:val="0"/>
                <w:numId w:val="3"/>
              </w:numPr>
              <w:ind w:hanging="283"/>
              <w:rPr>
                <w:rFonts w:cs="Arial"/>
                <w:bCs/>
                <w:sz w:val="20"/>
              </w:rPr>
            </w:pPr>
            <w:r w:rsidRPr="00531B89">
              <w:rPr>
                <w:rFonts w:cs="Arial"/>
                <w:bCs/>
                <w:sz w:val="20"/>
              </w:rPr>
              <w:t>To improve the health of the population by reducing passive exposure to smoke.</w:t>
            </w:r>
          </w:p>
          <w:p w14:paraId="7EA2EED4" w14:textId="77777777" w:rsidR="001C73AC" w:rsidRPr="00FA34B0" w:rsidRDefault="001C73AC">
            <w:pPr>
              <w:rPr>
                <w:rFonts w:cs="Arial"/>
                <w:sz w:val="20"/>
              </w:rPr>
            </w:pPr>
          </w:p>
          <w:p w14:paraId="22BABC85" w14:textId="0CAE26E5" w:rsidR="001E2E94" w:rsidRPr="006969ED" w:rsidRDefault="001E2E94">
            <w:pPr>
              <w:rPr>
                <w:rFonts w:cs="Arial"/>
                <w:b/>
                <w:bCs/>
                <w:sz w:val="20"/>
              </w:rPr>
            </w:pPr>
            <w:r w:rsidRPr="006969ED">
              <w:rPr>
                <w:rFonts w:cs="Arial"/>
                <w:b/>
                <w:bCs/>
                <w:sz w:val="20"/>
              </w:rPr>
              <w:t>3.3 Population covered</w:t>
            </w:r>
          </w:p>
          <w:p w14:paraId="4159D080" w14:textId="0F753E16" w:rsidR="006B0C18" w:rsidRDefault="00F0226D">
            <w:pPr>
              <w:rPr>
                <w:rFonts w:cs="Arial"/>
                <w:bCs/>
                <w:sz w:val="20"/>
              </w:rPr>
            </w:pPr>
            <w:r w:rsidRPr="00531B89">
              <w:rPr>
                <w:rFonts w:cs="Arial"/>
                <w:bCs/>
                <w:sz w:val="20"/>
              </w:rPr>
              <w:t>Clients fulfilling the criteria set out in the Halton Stop Smoking Service protocol</w:t>
            </w:r>
            <w:r w:rsidR="003A75FC">
              <w:rPr>
                <w:rFonts w:cs="Arial"/>
                <w:bCs/>
                <w:sz w:val="20"/>
              </w:rPr>
              <w:t xml:space="preserve"> which can be found on PharmOutcomes.</w:t>
            </w:r>
          </w:p>
          <w:p w14:paraId="229A20BB" w14:textId="77777777" w:rsidR="008B2760" w:rsidRDefault="008B2760">
            <w:pPr>
              <w:rPr>
                <w:rFonts w:cs="Arial"/>
                <w:bCs/>
                <w:sz w:val="20"/>
              </w:rPr>
            </w:pPr>
          </w:p>
          <w:p w14:paraId="79672BB4" w14:textId="77777777" w:rsidR="00F0226D" w:rsidRPr="00F0226D" w:rsidRDefault="00F0226D">
            <w:pPr>
              <w:rPr>
                <w:rFonts w:cs="Arial"/>
                <w:bCs/>
                <w:sz w:val="20"/>
              </w:rPr>
            </w:pPr>
          </w:p>
          <w:p w14:paraId="38F65E49" w14:textId="77777777" w:rsidR="001E2E94" w:rsidRPr="00AF756D" w:rsidRDefault="001E2E94">
            <w:pPr>
              <w:rPr>
                <w:rFonts w:cs="Arial"/>
                <w:b/>
                <w:bCs/>
                <w:sz w:val="20"/>
              </w:rPr>
            </w:pPr>
            <w:r w:rsidRPr="00AF756D">
              <w:rPr>
                <w:rFonts w:cs="Arial"/>
                <w:b/>
                <w:bCs/>
                <w:sz w:val="20"/>
              </w:rPr>
              <w:t>3.4 Any acceptance and exclusion criteria and thresholds</w:t>
            </w:r>
          </w:p>
          <w:p w14:paraId="6B314615" w14:textId="7B52E21B" w:rsidR="007004F2" w:rsidRDefault="007004F2" w:rsidP="007004F2">
            <w:pPr>
              <w:rPr>
                <w:rFonts w:cs="Arial"/>
                <w:bCs/>
                <w:sz w:val="20"/>
              </w:rPr>
            </w:pPr>
            <w:r w:rsidRPr="00531B89">
              <w:rPr>
                <w:rFonts w:cs="Arial"/>
                <w:bCs/>
                <w:sz w:val="20"/>
              </w:rPr>
              <w:t xml:space="preserve">This service will provide access to NRT products and supporting information. Vouchers are uploaded to </w:t>
            </w:r>
            <w:r w:rsidR="007528C8">
              <w:rPr>
                <w:rFonts w:cs="Arial"/>
                <w:bCs/>
                <w:sz w:val="20"/>
              </w:rPr>
              <w:t>PharmOutcomes</w:t>
            </w:r>
            <w:r w:rsidRPr="00531B89">
              <w:rPr>
                <w:rFonts w:cs="Arial"/>
                <w:bCs/>
                <w:sz w:val="20"/>
              </w:rPr>
              <w:t xml:space="preserve"> and are provided by the Stop Smoking Service or other intermediary service provider.</w:t>
            </w:r>
          </w:p>
          <w:p w14:paraId="557C0AAF" w14:textId="77777777" w:rsidR="002A34D9" w:rsidRPr="00531B89" w:rsidRDefault="002A34D9" w:rsidP="007004F2">
            <w:pPr>
              <w:rPr>
                <w:rFonts w:cs="Arial"/>
                <w:bCs/>
                <w:sz w:val="20"/>
              </w:rPr>
            </w:pPr>
          </w:p>
          <w:p w14:paraId="5C5A8478" w14:textId="77777777" w:rsidR="007004F2" w:rsidRDefault="007004F2" w:rsidP="007004F2">
            <w:pPr>
              <w:rPr>
                <w:rFonts w:cs="Arial"/>
                <w:bCs/>
                <w:sz w:val="20"/>
              </w:rPr>
            </w:pPr>
            <w:r w:rsidRPr="00531B89">
              <w:rPr>
                <w:rFonts w:cs="Arial"/>
                <w:bCs/>
                <w:sz w:val="20"/>
              </w:rPr>
              <w:t xml:space="preserve">In accordance with the Stop Smoking Protocol anyone over the age of 12 is eligible for support from the Stop Smoking service. </w:t>
            </w:r>
          </w:p>
          <w:p w14:paraId="6D22D276" w14:textId="77777777" w:rsidR="002A34D9" w:rsidRPr="00531B89" w:rsidRDefault="002A34D9" w:rsidP="007004F2">
            <w:pPr>
              <w:rPr>
                <w:rFonts w:cs="Arial"/>
                <w:bCs/>
                <w:sz w:val="20"/>
              </w:rPr>
            </w:pPr>
          </w:p>
          <w:p w14:paraId="1798DEB7" w14:textId="1C228CFA" w:rsidR="007004F2" w:rsidRDefault="007004F2" w:rsidP="007004F2">
            <w:pPr>
              <w:spacing w:before="60" w:after="60"/>
              <w:rPr>
                <w:rFonts w:cs="Arial"/>
                <w:sz w:val="20"/>
              </w:rPr>
            </w:pPr>
            <w:r w:rsidRPr="00531B89">
              <w:rPr>
                <w:rFonts w:cs="Arial"/>
                <w:sz w:val="20"/>
              </w:rPr>
              <w:t xml:space="preserve">Overall clinical responsibility for the supply of NRT products lies with the pharmacist on duty at the time of supply.  As the legal responsibility for issuing the product rests with the pharmacist the final choice of formulation is at the discretion of the pharmacist. </w:t>
            </w:r>
            <w:r w:rsidR="009C5545" w:rsidRPr="009C5545">
              <w:rPr>
                <w:rFonts w:cs="Arial"/>
                <w:sz w:val="20"/>
              </w:rPr>
              <w:t>The pharmacist has the discretion to change the product should they deem it necessary.</w:t>
            </w:r>
          </w:p>
          <w:p w14:paraId="15062B15" w14:textId="77777777" w:rsidR="002A34D9" w:rsidRPr="00531B89" w:rsidRDefault="002A34D9" w:rsidP="007004F2">
            <w:pPr>
              <w:spacing w:before="60" w:after="60"/>
              <w:rPr>
                <w:rFonts w:cs="Arial"/>
                <w:sz w:val="20"/>
              </w:rPr>
            </w:pPr>
          </w:p>
          <w:p w14:paraId="5EA4D444" w14:textId="61C8688A" w:rsidR="007004F2" w:rsidRDefault="007004F2" w:rsidP="007004F2">
            <w:pPr>
              <w:spacing w:before="60" w:after="60"/>
              <w:rPr>
                <w:rFonts w:cs="Arial"/>
                <w:sz w:val="20"/>
              </w:rPr>
            </w:pPr>
            <w:r w:rsidRPr="00531B89">
              <w:rPr>
                <w:rFonts w:cs="Arial"/>
                <w:sz w:val="20"/>
              </w:rPr>
              <w:t xml:space="preserve">If a different product is supplied compared to the one suggested </w:t>
            </w:r>
            <w:r w:rsidR="006474D4">
              <w:rPr>
                <w:rFonts w:cs="Arial"/>
                <w:sz w:val="20"/>
              </w:rPr>
              <w:t>o</w:t>
            </w:r>
            <w:r w:rsidRPr="00531B89">
              <w:rPr>
                <w:rFonts w:cs="Arial"/>
                <w:sz w:val="20"/>
              </w:rPr>
              <w:t xml:space="preserve">n </w:t>
            </w:r>
            <w:r w:rsidR="007528C8">
              <w:rPr>
                <w:rFonts w:cs="Arial"/>
                <w:sz w:val="20"/>
              </w:rPr>
              <w:t>PharmOutcomes</w:t>
            </w:r>
            <w:r w:rsidRPr="00531B89">
              <w:rPr>
                <w:rFonts w:cs="Arial"/>
                <w:sz w:val="20"/>
              </w:rPr>
              <w:t xml:space="preserve">, the accredited pharmacy staff will ask the client to inform the Stop Smoking specialist at their next appointment.  </w:t>
            </w:r>
            <w:r w:rsidRPr="00DC3ABF">
              <w:rPr>
                <w:rFonts w:cs="Arial"/>
                <w:sz w:val="20"/>
              </w:rPr>
              <w:t>The service does not include the provision of electronic cigarettes.</w:t>
            </w:r>
          </w:p>
          <w:p w14:paraId="131D9919" w14:textId="77777777" w:rsidR="00853C4B" w:rsidRPr="00FA34B0" w:rsidRDefault="00853C4B">
            <w:pPr>
              <w:rPr>
                <w:rFonts w:cs="Arial"/>
                <w:sz w:val="20"/>
              </w:rPr>
            </w:pPr>
          </w:p>
          <w:p w14:paraId="781915D7" w14:textId="77777777" w:rsidR="001E2E94" w:rsidRPr="00FA34B0" w:rsidRDefault="001E2E94">
            <w:pPr>
              <w:rPr>
                <w:rFonts w:cs="Arial"/>
                <w:sz w:val="20"/>
              </w:rPr>
            </w:pPr>
            <w:r w:rsidRPr="006969ED">
              <w:rPr>
                <w:rFonts w:cs="Arial"/>
                <w:b/>
                <w:bCs/>
                <w:sz w:val="20"/>
              </w:rPr>
              <w:t>3.</w:t>
            </w:r>
            <w:r w:rsidRPr="00AF756D">
              <w:rPr>
                <w:rFonts w:cs="Arial"/>
                <w:b/>
                <w:bCs/>
                <w:sz w:val="20"/>
              </w:rPr>
              <w:t>5 Interdependencies with other services</w:t>
            </w:r>
          </w:p>
          <w:p w14:paraId="7522297E" w14:textId="77777777" w:rsidR="005D22B3" w:rsidRPr="00531B89" w:rsidRDefault="005D22B3" w:rsidP="005D22B3">
            <w:pPr>
              <w:contextualSpacing/>
              <w:rPr>
                <w:rFonts w:cs="Arial"/>
                <w:b/>
                <w:bCs/>
                <w:color w:val="339966"/>
                <w:sz w:val="20"/>
              </w:rPr>
            </w:pPr>
            <w:r w:rsidRPr="00531B89">
              <w:rPr>
                <w:rFonts w:cs="Arial"/>
                <w:bCs/>
                <w:sz w:val="20"/>
              </w:rPr>
              <w:t>The Halton Stop Smoking Service will provide one to one or group support for clients who wish to stop smoking. This includes setting a target quit date and providing vouchers for stop smoking products which can be exchanged in pharmacies signed up to this contract.</w:t>
            </w:r>
            <w:r w:rsidRPr="00531B89">
              <w:rPr>
                <w:rFonts w:cs="Arial"/>
                <w:b/>
                <w:bCs/>
                <w:color w:val="339966"/>
                <w:sz w:val="20"/>
              </w:rPr>
              <w:t xml:space="preserve">  </w:t>
            </w:r>
          </w:p>
          <w:p w14:paraId="386B9E05" w14:textId="77777777" w:rsidR="00922E83" w:rsidRPr="00FA34B0" w:rsidRDefault="00922E83">
            <w:pPr>
              <w:rPr>
                <w:rFonts w:cs="Arial"/>
                <w:sz w:val="20"/>
              </w:rPr>
            </w:pPr>
          </w:p>
          <w:p w14:paraId="5CA081CE" w14:textId="77777777" w:rsidR="001E2E94" w:rsidRPr="00AF756D" w:rsidRDefault="001E2E94">
            <w:pPr>
              <w:rPr>
                <w:rFonts w:cs="Arial"/>
                <w:b/>
                <w:bCs/>
                <w:sz w:val="20"/>
              </w:rPr>
            </w:pPr>
            <w:r w:rsidRPr="00AF756D">
              <w:rPr>
                <w:rFonts w:cs="Arial"/>
                <w:b/>
                <w:bCs/>
                <w:sz w:val="20"/>
              </w:rPr>
              <w:t>3.6 Any activity planning assumptions</w:t>
            </w:r>
          </w:p>
          <w:p w14:paraId="16E0DFF9" w14:textId="77777777" w:rsidR="007C1264" w:rsidRPr="00531B89" w:rsidRDefault="007C1264" w:rsidP="007C1264">
            <w:pPr>
              <w:rPr>
                <w:rFonts w:eastAsia="MS ??" w:cs="Arial"/>
                <w:bCs/>
                <w:sz w:val="20"/>
              </w:rPr>
            </w:pPr>
            <w:r w:rsidRPr="00531B89">
              <w:rPr>
                <w:rFonts w:eastAsia="MS ??" w:cs="Arial"/>
                <w:bCs/>
                <w:sz w:val="20"/>
              </w:rPr>
              <w:t>This service will work in conjunction with the Halton Stop Smoking Service Protocol.</w:t>
            </w:r>
          </w:p>
          <w:p w14:paraId="4BFD04D6" w14:textId="77777777" w:rsidR="007C1264" w:rsidRPr="00531B89" w:rsidRDefault="007C1264" w:rsidP="007C1264">
            <w:pPr>
              <w:rPr>
                <w:rFonts w:eastAsia="MS ??" w:cs="Arial"/>
                <w:bCs/>
                <w:sz w:val="20"/>
              </w:rPr>
            </w:pPr>
            <w:r w:rsidRPr="00531B89">
              <w:rPr>
                <w:rFonts w:eastAsia="MS ??" w:cs="Arial"/>
                <w:bCs/>
                <w:sz w:val="20"/>
              </w:rPr>
              <w:t>The contracted pharmacy (herein referred to as the service provider) will have in place robust systems for the identification, mitigation and management of clinical and non-clinical risk.</w:t>
            </w:r>
          </w:p>
          <w:p w14:paraId="65349ED1" w14:textId="2254FB7C" w:rsidR="001909D8" w:rsidRPr="00FA34B0" w:rsidRDefault="001909D8" w:rsidP="00131B78">
            <w:pPr>
              <w:rPr>
                <w:rFonts w:cs="Arial"/>
                <w:sz w:val="20"/>
              </w:rPr>
            </w:pPr>
          </w:p>
        </w:tc>
      </w:tr>
      <w:tr w:rsidR="001E2E94" w:rsidRPr="00FA34B0" w14:paraId="4DD0A300" w14:textId="77777777" w:rsidTr="006969ED">
        <w:tc>
          <w:tcPr>
            <w:tcW w:w="9016" w:type="dxa"/>
            <w:shd w:val="clear" w:color="auto" w:fill="BFBFBF" w:themeFill="background1" w:themeFillShade="BF"/>
          </w:tcPr>
          <w:p w14:paraId="3A619CFF" w14:textId="7FA45DFB" w:rsidR="001E2E94" w:rsidRPr="006969ED" w:rsidRDefault="001E2E94">
            <w:pPr>
              <w:rPr>
                <w:rFonts w:cs="Arial"/>
                <w:b/>
                <w:bCs/>
                <w:sz w:val="20"/>
              </w:rPr>
            </w:pPr>
            <w:r w:rsidRPr="006969ED">
              <w:rPr>
                <w:rFonts w:cs="Arial"/>
                <w:b/>
                <w:bCs/>
                <w:sz w:val="20"/>
              </w:rPr>
              <w:lastRenderedPageBreak/>
              <w:t>4. Service Description</w:t>
            </w:r>
          </w:p>
        </w:tc>
      </w:tr>
      <w:tr w:rsidR="001E2E94" w:rsidRPr="00FA34B0" w14:paraId="2DBDF835" w14:textId="77777777" w:rsidTr="001E2E94">
        <w:tc>
          <w:tcPr>
            <w:tcW w:w="9016" w:type="dxa"/>
          </w:tcPr>
          <w:p w14:paraId="0647D2ED" w14:textId="77777777" w:rsidR="00FF6073" w:rsidRPr="00531B89" w:rsidRDefault="00FF6073" w:rsidP="00FF6073">
            <w:pPr>
              <w:pStyle w:val="ListParagraph"/>
              <w:numPr>
                <w:ilvl w:val="0"/>
                <w:numId w:val="17"/>
              </w:numPr>
              <w:suppressAutoHyphens w:val="0"/>
              <w:contextualSpacing w:val="0"/>
              <w:jc w:val="left"/>
              <w:rPr>
                <w:rFonts w:cs="Arial"/>
                <w:sz w:val="20"/>
                <w:lang w:eastAsia="en-GB"/>
              </w:rPr>
            </w:pPr>
            <w:r w:rsidRPr="00531B89">
              <w:rPr>
                <w:rFonts w:cs="Arial"/>
                <w:sz w:val="20"/>
                <w:lang w:eastAsia="en-GB"/>
              </w:rPr>
              <w:t>The service provider must be able to provide a sufficient level of privacy and safety for the provision of this service.</w:t>
            </w:r>
          </w:p>
          <w:p w14:paraId="0C738267" w14:textId="77777777" w:rsidR="00FF6073" w:rsidRPr="00531B89" w:rsidRDefault="00FF6073" w:rsidP="00FF6073">
            <w:pPr>
              <w:pStyle w:val="ListParagraph"/>
              <w:rPr>
                <w:rFonts w:cs="Arial"/>
                <w:sz w:val="20"/>
                <w:lang w:eastAsia="en-GB"/>
              </w:rPr>
            </w:pPr>
          </w:p>
          <w:p w14:paraId="465E54A7" w14:textId="77777777" w:rsidR="00FF6073" w:rsidRPr="00531B89" w:rsidRDefault="00FF6073" w:rsidP="00FF6073">
            <w:pPr>
              <w:pStyle w:val="ListParagraph"/>
              <w:numPr>
                <w:ilvl w:val="0"/>
                <w:numId w:val="17"/>
              </w:numPr>
              <w:suppressAutoHyphens w:val="0"/>
              <w:contextualSpacing w:val="0"/>
              <w:jc w:val="left"/>
              <w:rPr>
                <w:rFonts w:cs="Arial"/>
                <w:sz w:val="20"/>
                <w:lang w:eastAsia="en-GB"/>
              </w:rPr>
            </w:pPr>
            <w:r w:rsidRPr="00531B89">
              <w:rPr>
                <w:rFonts w:cs="Arial"/>
                <w:sz w:val="20"/>
                <w:lang w:eastAsia="en-GB"/>
              </w:rPr>
              <w:t>The service provider has a duty to ensure that the pharmacists and staff involved in the provision of this service have the relevant knowledge, skills and are appropriately trained in the provision of this service.</w:t>
            </w:r>
          </w:p>
          <w:p w14:paraId="261A0DB4" w14:textId="77777777" w:rsidR="00FF6073" w:rsidRPr="00FF6073" w:rsidRDefault="00FF6073" w:rsidP="00FF6073">
            <w:pPr>
              <w:rPr>
                <w:rFonts w:cs="Arial"/>
                <w:sz w:val="20"/>
                <w:lang w:eastAsia="en-GB"/>
              </w:rPr>
            </w:pPr>
          </w:p>
          <w:p w14:paraId="508C7DC5" w14:textId="149B40B6" w:rsidR="00FF6073" w:rsidRPr="00531B89" w:rsidRDefault="00FF6073" w:rsidP="00FF6073">
            <w:pPr>
              <w:pStyle w:val="ListParagraph"/>
              <w:numPr>
                <w:ilvl w:val="0"/>
                <w:numId w:val="17"/>
              </w:numPr>
              <w:suppressAutoHyphens w:val="0"/>
              <w:contextualSpacing w:val="0"/>
              <w:jc w:val="left"/>
              <w:rPr>
                <w:rFonts w:cs="Arial"/>
                <w:sz w:val="20"/>
                <w:lang w:eastAsia="en-GB"/>
              </w:rPr>
            </w:pPr>
            <w:r w:rsidRPr="00531B89">
              <w:rPr>
                <w:rFonts w:cs="Arial"/>
                <w:sz w:val="20"/>
                <w:lang w:eastAsia="en-GB"/>
              </w:rPr>
              <w:t>The service provider has a duty to ensure that pharmacists and staff involved in the provision of this service are aware of and act in accordance</w:t>
            </w:r>
            <w:r w:rsidR="008F1141">
              <w:rPr>
                <w:rFonts w:cs="Arial"/>
                <w:sz w:val="20"/>
                <w:lang w:eastAsia="en-GB"/>
              </w:rPr>
              <w:t xml:space="preserve"> with</w:t>
            </w:r>
            <w:r w:rsidRPr="00531B89">
              <w:rPr>
                <w:rFonts w:cs="Arial"/>
                <w:sz w:val="20"/>
                <w:lang w:eastAsia="en-GB"/>
              </w:rPr>
              <w:t xml:space="preserve"> </w:t>
            </w:r>
            <w:r w:rsidR="003F36C0">
              <w:rPr>
                <w:rFonts w:cs="Arial"/>
                <w:sz w:val="20"/>
                <w:lang w:eastAsia="en-GB"/>
              </w:rPr>
              <w:t xml:space="preserve">Halton’s </w:t>
            </w:r>
            <w:r w:rsidR="003F36C0" w:rsidRPr="00531B89">
              <w:rPr>
                <w:rFonts w:cs="Arial"/>
                <w:sz w:val="20"/>
                <w:lang w:eastAsia="en-GB"/>
              </w:rPr>
              <w:t>Stop Smoking protocol.</w:t>
            </w:r>
          </w:p>
          <w:p w14:paraId="38C1BE11" w14:textId="77777777" w:rsidR="00FF6073" w:rsidRPr="00531B89" w:rsidRDefault="00FF6073" w:rsidP="00FF6073">
            <w:pPr>
              <w:pStyle w:val="ListParagraph"/>
              <w:rPr>
                <w:rFonts w:cs="Arial"/>
                <w:sz w:val="20"/>
                <w:lang w:eastAsia="en-GB"/>
              </w:rPr>
            </w:pPr>
          </w:p>
          <w:p w14:paraId="7BA5614C" w14:textId="68DEA9AE" w:rsidR="00FF6073" w:rsidRPr="00531B89" w:rsidRDefault="00FF6073" w:rsidP="00FF6073">
            <w:pPr>
              <w:pStyle w:val="ListParagraph"/>
              <w:numPr>
                <w:ilvl w:val="0"/>
                <w:numId w:val="17"/>
              </w:numPr>
              <w:suppressAutoHyphens w:val="0"/>
              <w:contextualSpacing w:val="0"/>
              <w:jc w:val="left"/>
              <w:rPr>
                <w:rFonts w:cs="Arial"/>
                <w:sz w:val="20"/>
                <w:lang w:eastAsia="en-GB"/>
              </w:rPr>
            </w:pPr>
            <w:r w:rsidRPr="00531B89">
              <w:rPr>
                <w:rFonts w:cs="Arial"/>
                <w:sz w:val="20"/>
                <w:lang w:eastAsia="en-GB"/>
              </w:rPr>
              <w:t xml:space="preserve">The service provider should confirm the name and address of the person redeeming the voucher on </w:t>
            </w:r>
            <w:r w:rsidR="007528C8">
              <w:rPr>
                <w:rFonts w:cs="Arial"/>
                <w:sz w:val="20"/>
                <w:lang w:eastAsia="en-GB"/>
              </w:rPr>
              <w:t>PharmOutcomes</w:t>
            </w:r>
            <w:r w:rsidRPr="00531B89">
              <w:rPr>
                <w:rFonts w:cs="Arial"/>
                <w:sz w:val="20"/>
                <w:lang w:eastAsia="en-GB"/>
              </w:rPr>
              <w:t xml:space="preserve">. </w:t>
            </w:r>
          </w:p>
          <w:p w14:paraId="1D1C29BA" w14:textId="77777777" w:rsidR="00FF6073" w:rsidRPr="00FF6073" w:rsidRDefault="00FF6073" w:rsidP="00FF6073">
            <w:pPr>
              <w:rPr>
                <w:rFonts w:cs="Arial"/>
                <w:sz w:val="20"/>
                <w:lang w:eastAsia="en-GB"/>
              </w:rPr>
            </w:pPr>
          </w:p>
          <w:p w14:paraId="5C798A8D" w14:textId="289B6093" w:rsidR="00FF6073" w:rsidRPr="00531B89" w:rsidRDefault="00FF6073" w:rsidP="00FF6073">
            <w:pPr>
              <w:pStyle w:val="ListParagraph"/>
              <w:numPr>
                <w:ilvl w:val="0"/>
                <w:numId w:val="17"/>
              </w:numPr>
              <w:suppressAutoHyphens w:val="0"/>
              <w:contextualSpacing w:val="0"/>
              <w:jc w:val="left"/>
              <w:rPr>
                <w:rFonts w:cs="Arial"/>
                <w:sz w:val="20"/>
                <w:lang w:eastAsia="en-GB"/>
              </w:rPr>
            </w:pPr>
            <w:r w:rsidRPr="00531B89">
              <w:rPr>
                <w:rFonts w:cs="Arial"/>
                <w:sz w:val="20"/>
                <w:lang w:eastAsia="en-GB"/>
              </w:rPr>
              <w:t xml:space="preserve">The service provider should confirm the eligibility of the person to access the service in accordance with </w:t>
            </w:r>
            <w:r w:rsidR="00836AEF">
              <w:rPr>
                <w:rFonts w:cs="Arial"/>
                <w:sz w:val="20"/>
                <w:lang w:eastAsia="en-GB"/>
              </w:rPr>
              <w:t xml:space="preserve">Halton’s </w:t>
            </w:r>
            <w:r w:rsidRPr="00531B89">
              <w:rPr>
                <w:rFonts w:cs="Arial"/>
                <w:sz w:val="20"/>
                <w:lang w:eastAsia="en-GB"/>
              </w:rPr>
              <w:t>Stop Smoking protocol.</w:t>
            </w:r>
          </w:p>
          <w:p w14:paraId="3DC53617" w14:textId="77777777" w:rsidR="00FF6073" w:rsidRPr="00531B89" w:rsidRDefault="00FF6073" w:rsidP="00FF6073">
            <w:pPr>
              <w:pStyle w:val="ListParagraph"/>
              <w:rPr>
                <w:rFonts w:cs="Arial"/>
                <w:sz w:val="20"/>
                <w:lang w:eastAsia="en-GB"/>
              </w:rPr>
            </w:pPr>
          </w:p>
          <w:p w14:paraId="0B7BF0A4" w14:textId="77777777" w:rsidR="00FF6073" w:rsidRPr="00531B89" w:rsidRDefault="00FF6073" w:rsidP="00FF6073">
            <w:pPr>
              <w:pStyle w:val="ListParagraph"/>
              <w:numPr>
                <w:ilvl w:val="0"/>
                <w:numId w:val="17"/>
              </w:numPr>
              <w:suppressAutoHyphens w:val="0"/>
              <w:contextualSpacing w:val="0"/>
              <w:jc w:val="left"/>
              <w:rPr>
                <w:rFonts w:cs="Arial"/>
                <w:sz w:val="20"/>
                <w:lang w:eastAsia="en-GB"/>
              </w:rPr>
            </w:pPr>
            <w:r w:rsidRPr="00531B89">
              <w:rPr>
                <w:rFonts w:cs="Arial"/>
                <w:sz w:val="20"/>
                <w:lang w:eastAsia="en-GB"/>
              </w:rPr>
              <w:t>The service provider should maintain appropriate records to ensure ongoing service delivery and audit.  All supplies of NRT must be recorded on the clients medication record (PMR) in the pharmacy.</w:t>
            </w:r>
          </w:p>
          <w:p w14:paraId="2CCB7602" w14:textId="77777777" w:rsidR="00FF6073" w:rsidRPr="00531B89" w:rsidRDefault="00FF6073" w:rsidP="00FF6073">
            <w:pPr>
              <w:pStyle w:val="ListParagraph"/>
              <w:rPr>
                <w:rFonts w:cs="Arial"/>
                <w:sz w:val="20"/>
                <w:lang w:eastAsia="en-GB"/>
              </w:rPr>
            </w:pPr>
          </w:p>
          <w:p w14:paraId="147AE792" w14:textId="74A60AC1" w:rsidR="00FF6073" w:rsidRPr="00531B89" w:rsidRDefault="00FF6073" w:rsidP="00FF6073">
            <w:pPr>
              <w:pStyle w:val="ListParagraph"/>
              <w:numPr>
                <w:ilvl w:val="0"/>
                <w:numId w:val="17"/>
              </w:numPr>
              <w:suppressAutoHyphens w:val="0"/>
              <w:contextualSpacing w:val="0"/>
              <w:jc w:val="left"/>
              <w:rPr>
                <w:rFonts w:cs="Arial"/>
                <w:sz w:val="20"/>
                <w:lang w:eastAsia="en-GB"/>
              </w:rPr>
            </w:pPr>
            <w:r w:rsidRPr="00531B89">
              <w:rPr>
                <w:rFonts w:cs="Arial"/>
                <w:sz w:val="20"/>
                <w:lang w:eastAsia="en-GB"/>
              </w:rPr>
              <w:t xml:space="preserve">The product(s) supplied must be labelled in accordance with the requirements of the Medicines, Ethics and Practice published by </w:t>
            </w:r>
            <w:r w:rsidR="00917A4F">
              <w:rPr>
                <w:rFonts w:cs="Arial"/>
                <w:sz w:val="20"/>
                <w:lang w:eastAsia="en-GB"/>
              </w:rPr>
              <w:t>the Royal Pharmaceutical Society</w:t>
            </w:r>
            <w:r w:rsidRPr="00531B89">
              <w:rPr>
                <w:rFonts w:cs="Arial"/>
                <w:sz w:val="20"/>
                <w:lang w:eastAsia="en-GB"/>
              </w:rPr>
              <w:t>.</w:t>
            </w:r>
          </w:p>
          <w:p w14:paraId="4A129265" w14:textId="77777777" w:rsidR="00FF6073" w:rsidRPr="00531B89" w:rsidRDefault="00FF6073" w:rsidP="00FF6073">
            <w:pPr>
              <w:rPr>
                <w:rFonts w:cs="Arial"/>
                <w:sz w:val="20"/>
                <w:lang w:eastAsia="en-GB"/>
              </w:rPr>
            </w:pPr>
          </w:p>
          <w:p w14:paraId="45871C09" w14:textId="3A69BEC2" w:rsidR="00FF6073" w:rsidRDefault="00FF6073" w:rsidP="00FF6073">
            <w:pPr>
              <w:pStyle w:val="ListParagraph"/>
              <w:numPr>
                <w:ilvl w:val="0"/>
                <w:numId w:val="17"/>
              </w:numPr>
              <w:contextualSpacing w:val="0"/>
              <w:rPr>
                <w:rFonts w:cs="Arial"/>
                <w:sz w:val="20"/>
                <w:lang w:eastAsia="en-GB"/>
              </w:rPr>
            </w:pPr>
            <w:r w:rsidRPr="00531B89">
              <w:rPr>
                <w:rFonts w:cs="Arial"/>
                <w:sz w:val="20"/>
                <w:lang w:eastAsia="en-GB"/>
              </w:rPr>
              <w:t xml:space="preserve">The service provider must endorse the voucher on </w:t>
            </w:r>
            <w:r w:rsidR="007528C8">
              <w:rPr>
                <w:rFonts w:cs="Arial"/>
                <w:sz w:val="20"/>
                <w:lang w:eastAsia="en-GB"/>
              </w:rPr>
              <w:t>PharmOutcomes</w:t>
            </w:r>
            <w:r w:rsidRPr="00531B89">
              <w:rPr>
                <w:rFonts w:cs="Arial"/>
                <w:sz w:val="20"/>
                <w:lang w:eastAsia="en-GB"/>
              </w:rPr>
              <w:t xml:space="preserve"> for audit and payment purposes.</w:t>
            </w:r>
          </w:p>
          <w:p w14:paraId="2818F641" w14:textId="77777777" w:rsidR="009E0DC4" w:rsidRPr="009E0DC4" w:rsidRDefault="009E0DC4" w:rsidP="009E0DC4">
            <w:pPr>
              <w:pStyle w:val="ListParagraph"/>
              <w:rPr>
                <w:rFonts w:cs="Arial"/>
                <w:sz w:val="20"/>
                <w:lang w:eastAsia="en-GB"/>
              </w:rPr>
            </w:pPr>
          </w:p>
          <w:p w14:paraId="61F5A71D" w14:textId="77777777" w:rsidR="009E0DC4" w:rsidRDefault="009E0DC4" w:rsidP="009E0DC4">
            <w:pPr>
              <w:rPr>
                <w:rFonts w:cs="Arial"/>
                <w:sz w:val="20"/>
                <w:lang w:eastAsia="en-GB"/>
              </w:rPr>
            </w:pPr>
          </w:p>
          <w:p w14:paraId="177C69EF" w14:textId="77777777" w:rsidR="009E0DC4" w:rsidRDefault="009E0DC4" w:rsidP="009E0DC4">
            <w:pPr>
              <w:rPr>
                <w:rFonts w:cs="Arial"/>
                <w:sz w:val="20"/>
                <w:lang w:eastAsia="en-GB"/>
              </w:rPr>
            </w:pPr>
          </w:p>
          <w:p w14:paraId="4F4D4E9C" w14:textId="77777777" w:rsidR="009E0DC4" w:rsidRPr="009E0DC4" w:rsidRDefault="009E0DC4" w:rsidP="009E0DC4">
            <w:pPr>
              <w:rPr>
                <w:rFonts w:cs="Arial"/>
                <w:sz w:val="20"/>
                <w:lang w:eastAsia="en-GB"/>
              </w:rPr>
            </w:pPr>
          </w:p>
          <w:p w14:paraId="769ADA84" w14:textId="77777777" w:rsidR="005235F6" w:rsidRPr="00131B78" w:rsidRDefault="005235F6" w:rsidP="00131B78">
            <w:pPr>
              <w:suppressAutoHyphens w:val="0"/>
              <w:rPr>
                <w:rFonts w:cs="Arial"/>
                <w:sz w:val="20"/>
              </w:rPr>
            </w:pPr>
          </w:p>
        </w:tc>
      </w:tr>
      <w:tr w:rsidR="001E2E94" w:rsidRPr="00FA34B0" w14:paraId="3D3B1791" w14:textId="77777777" w:rsidTr="006969ED">
        <w:tc>
          <w:tcPr>
            <w:tcW w:w="9016" w:type="dxa"/>
            <w:shd w:val="clear" w:color="auto" w:fill="BFBFBF" w:themeFill="background1" w:themeFillShade="BF"/>
          </w:tcPr>
          <w:p w14:paraId="63CFFD73" w14:textId="78213E02" w:rsidR="001E2E94" w:rsidRPr="006969ED" w:rsidRDefault="001E2E94">
            <w:pPr>
              <w:rPr>
                <w:rFonts w:cs="Arial"/>
                <w:b/>
                <w:bCs/>
                <w:sz w:val="20"/>
              </w:rPr>
            </w:pPr>
            <w:r w:rsidRPr="006969ED">
              <w:rPr>
                <w:rFonts w:cs="Arial"/>
                <w:b/>
                <w:bCs/>
                <w:sz w:val="20"/>
              </w:rPr>
              <w:lastRenderedPageBreak/>
              <w:t>5. Applicable Service Standards</w:t>
            </w:r>
          </w:p>
        </w:tc>
      </w:tr>
      <w:tr w:rsidR="001E2E94" w:rsidRPr="00FA34B0" w14:paraId="195362DF" w14:textId="77777777" w:rsidTr="001E2E94">
        <w:tc>
          <w:tcPr>
            <w:tcW w:w="9016" w:type="dxa"/>
          </w:tcPr>
          <w:p w14:paraId="1B67CB88" w14:textId="2A072BAF" w:rsidR="001E2E94" w:rsidRDefault="001E2E94">
            <w:pPr>
              <w:rPr>
                <w:rFonts w:cs="Arial"/>
                <w:b/>
                <w:bCs/>
                <w:sz w:val="20"/>
              </w:rPr>
            </w:pPr>
            <w:r w:rsidRPr="00CE4201">
              <w:rPr>
                <w:rFonts w:cs="Arial"/>
                <w:b/>
                <w:bCs/>
                <w:sz w:val="20"/>
              </w:rPr>
              <w:t>5.1 Applicable national standards (e.g. NICE)</w:t>
            </w:r>
          </w:p>
          <w:p w14:paraId="7C67F8C2" w14:textId="77777777" w:rsidR="00C312C0" w:rsidRPr="00531B89" w:rsidRDefault="00C312C0" w:rsidP="00C312C0">
            <w:pPr>
              <w:contextualSpacing/>
              <w:rPr>
                <w:rFonts w:cs="Arial"/>
                <w:sz w:val="20"/>
              </w:rPr>
            </w:pPr>
            <w:r w:rsidRPr="00531B89">
              <w:rPr>
                <w:rFonts w:cs="Arial"/>
                <w:sz w:val="20"/>
              </w:rPr>
              <w:t>The service model is evidence based and refers to current guidance available from:</w:t>
            </w:r>
          </w:p>
          <w:p w14:paraId="3BBF1879" w14:textId="77777777" w:rsidR="00C312C0" w:rsidRPr="00531B89" w:rsidRDefault="00C312C0" w:rsidP="00C312C0">
            <w:pPr>
              <w:pStyle w:val="ListParagraph"/>
              <w:numPr>
                <w:ilvl w:val="0"/>
                <w:numId w:val="14"/>
              </w:numPr>
              <w:suppressAutoHyphens w:val="0"/>
              <w:spacing w:after="200" w:line="276" w:lineRule="auto"/>
              <w:rPr>
                <w:rFonts w:cs="Arial"/>
                <w:sz w:val="20"/>
              </w:rPr>
            </w:pPr>
            <w:r w:rsidRPr="00531B89">
              <w:rPr>
                <w:rFonts w:cs="Arial"/>
                <w:sz w:val="20"/>
              </w:rPr>
              <w:t>NICE Guidance – NG209 “Tobacco: preventing uptake, promoting quitting and treating dependence.”</w:t>
            </w:r>
          </w:p>
          <w:p w14:paraId="2D1AA64F" w14:textId="77777777" w:rsidR="00C312C0" w:rsidRPr="00531B89" w:rsidRDefault="00C312C0" w:rsidP="00C312C0">
            <w:pPr>
              <w:pStyle w:val="ListParagraph"/>
              <w:numPr>
                <w:ilvl w:val="0"/>
                <w:numId w:val="14"/>
              </w:numPr>
              <w:suppressAutoHyphens w:val="0"/>
              <w:spacing w:after="200" w:line="276" w:lineRule="auto"/>
              <w:rPr>
                <w:rFonts w:cs="Arial"/>
                <w:sz w:val="20"/>
              </w:rPr>
            </w:pPr>
            <w:r w:rsidRPr="00531B89">
              <w:rPr>
                <w:rFonts w:cs="Arial"/>
                <w:sz w:val="20"/>
              </w:rPr>
              <w:t>NICE Quality Standards – QS207 “Tobacco: treating dependence.”</w:t>
            </w:r>
          </w:p>
          <w:p w14:paraId="726B020F" w14:textId="77777777" w:rsidR="00C312C0" w:rsidRPr="00531B89" w:rsidRDefault="00C312C0" w:rsidP="00C312C0">
            <w:pPr>
              <w:pStyle w:val="ListParagraph"/>
              <w:numPr>
                <w:ilvl w:val="0"/>
                <w:numId w:val="14"/>
              </w:numPr>
              <w:suppressAutoHyphens w:val="0"/>
              <w:spacing w:after="200" w:line="276" w:lineRule="auto"/>
              <w:rPr>
                <w:rFonts w:cs="Arial"/>
                <w:sz w:val="20"/>
              </w:rPr>
            </w:pPr>
            <w:r w:rsidRPr="00531B89">
              <w:rPr>
                <w:rFonts w:cs="Arial"/>
                <w:sz w:val="20"/>
              </w:rPr>
              <w:t>NICE Guidance – NG209 “Tobacco: preventing uptake, promoting quitting and treating dependence.”</w:t>
            </w:r>
          </w:p>
          <w:p w14:paraId="0E3ADFBB" w14:textId="77777777" w:rsidR="00C312C0" w:rsidRPr="00531B89" w:rsidRDefault="00C312C0" w:rsidP="00C312C0">
            <w:pPr>
              <w:pStyle w:val="ListParagraph"/>
              <w:numPr>
                <w:ilvl w:val="0"/>
                <w:numId w:val="14"/>
              </w:numPr>
              <w:suppressAutoHyphens w:val="0"/>
              <w:spacing w:after="200" w:line="276" w:lineRule="auto"/>
              <w:rPr>
                <w:rFonts w:cs="Arial"/>
                <w:sz w:val="20"/>
              </w:rPr>
            </w:pPr>
            <w:r w:rsidRPr="00531B89">
              <w:rPr>
                <w:rFonts w:cs="Arial"/>
                <w:sz w:val="20"/>
              </w:rPr>
              <w:t xml:space="preserve">Care Quality Commission’s Essential standards of quality and safety </w:t>
            </w:r>
          </w:p>
          <w:p w14:paraId="03A5BA2A" w14:textId="77777777" w:rsidR="00C312C0" w:rsidRPr="00531B89" w:rsidRDefault="00C312C0" w:rsidP="00C312C0">
            <w:pPr>
              <w:rPr>
                <w:rFonts w:cs="Arial"/>
                <w:sz w:val="20"/>
              </w:rPr>
            </w:pPr>
            <w:r w:rsidRPr="00531B89">
              <w:rPr>
                <w:rFonts w:cs="Arial"/>
                <w:sz w:val="20"/>
              </w:rPr>
              <w:t>The service provider must also comply with Standards for registered pharmacies as set out by the General Pharmaceutical Council as well as qualities set out by NHS England.</w:t>
            </w:r>
          </w:p>
          <w:p w14:paraId="016F43A7" w14:textId="77777777" w:rsidR="00CE4201" w:rsidRPr="00CE4201" w:rsidRDefault="00CE4201">
            <w:pPr>
              <w:rPr>
                <w:rFonts w:cs="Arial"/>
                <w:b/>
                <w:bCs/>
                <w:sz w:val="20"/>
              </w:rPr>
            </w:pPr>
          </w:p>
          <w:p w14:paraId="50332CC6" w14:textId="77777777" w:rsidR="001E2E94" w:rsidRDefault="001E2E94">
            <w:pPr>
              <w:rPr>
                <w:rFonts w:cs="Arial"/>
                <w:b/>
                <w:bCs/>
                <w:sz w:val="20"/>
              </w:rPr>
            </w:pPr>
            <w:r w:rsidRPr="00CE4201">
              <w:rPr>
                <w:rFonts w:cs="Arial"/>
                <w:b/>
                <w:bCs/>
                <w:sz w:val="20"/>
              </w:rPr>
              <w:t>5.2 Applicable local standards and terms of service</w:t>
            </w:r>
          </w:p>
          <w:p w14:paraId="1E63F3E0" w14:textId="77777777" w:rsidR="00D14146" w:rsidRPr="00D14146" w:rsidRDefault="00D14146" w:rsidP="00D14146">
            <w:pPr>
              <w:pStyle w:val="ListParagraph"/>
              <w:numPr>
                <w:ilvl w:val="0"/>
                <w:numId w:val="15"/>
              </w:numPr>
              <w:ind w:right="340"/>
              <w:contextualSpacing w:val="0"/>
              <w:rPr>
                <w:rFonts w:cs="Arial"/>
                <w:vanish/>
                <w:sz w:val="20"/>
              </w:rPr>
            </w:pPr>
          </w:p>
          <w:p w14:paraId="515049B0" w14:textId="77777777" w:rsidR="00D14146" w:rsidRPr="00D14146" w:rsidRDefault="00D14146" w:rsidP="00D14146">
            <w:pPr>
              <w:pStyle w:val="ListParagraph"/>
              <w:numPr>
                <w:ilvl w:val="0"/>
                <w:numId w:val="15"/>
              </w:numPr>
              <w:ind w:right="340"/>
              <w:contextualSpacing w:val="0"/>
              <w:rPr>
                <w:rFonts w:cs="Arial"/>
                <w:vanish/>
                <w:sz w:val="20"/>
              </w:rPr>
            </w:pPr>
          </w:p>
          <w:p w14:paraId="619A9545" w14:textId="77777777" w:rsidR="00D14146" w:rsidRPr="00D14146" w:rsidRDefault="00D14146" w:rsidP="00D14146">
            <w:pPr>
              <w:pStyle w:val="ListParagraph"/>
              <w:numPr>
                <w:ilvl w:val="1"/>
                <w:numId w:val="15"/>
              </w:numPr>
              <w:ind w:right="340"/>
              <w:contextualSpacing w:val="0"/>
              <w:rPr>
                <w:rFonts w:cs="Arial"/>
                <w:vanish/>
                <w:sz w:val="20"/>
              </w:rPr>
            </w:pPr>
          </w:p>
          <w:p w14:paraId="56973213" w14:textId="1027CAC5" w:rsidR="00D14146" w:rsidRPr="00531B89" w:rsidRDefault="00D14146" w:rsidP="00D14146">
            <w:pPr>
              <w:pStyle w:val="ListParagraph"/>
              <w:numPr>
                <w:ilvl w:val="2"/>
                <w:numId w:val="15"/>
              </w:numPr>
              <w:ind w:right="340"/>
              <w:contextualSpacing w:val="0"/>
              <w:rPr>
                <w:rFonts w:cs="Arial"/>
                <w:sz w:val="20"/>
              </w:rPr>
            </w:pPr>
            <w:r w:rsidRPr="00531B89">
              <w:rPr>
                <w:rFonts w:cs="Arial"/>
                <w:sz w:val="20"/>
              </w:rPr>
              <w:t>The service provider will operate and provide a service in accordance with this specification unless altered/changed by agreement with the service commissioner.</w:t>
            </w:r>
          </w:p>
          <w:p w14:paraId="0168E97C" w14:textId="77777777" w:rsidR="00D14146" w:rsidRPr="00531B89" w:rsidRDefault="00D14146" w:rsidP="00D14146">
            <w:pPr>
              <w:pStyle w:val="ListParagraph"/>
              <w:ind w:right="340"/>
              <w:rPr>
                <w:rFonts w:cs="Arial"/>
                <w:sz w:val="20"/>
              </w:rPr>
            </w:pPr>
          </w:p>
          <w:p w14:paraId="30D1E0B6" w14:textId="59C6EF45" w:rsidR="00D14146" w:rsidRPr="00531B89" w:rsidRDefault="00D14146" w:rsidP="00D14146">
            <w:pPr>
              <w:pStyle w:val="ListParagraph"/>
              <w:numPr>
                <w:ilvl w:val="2"/>
                <w:numId w:val="15"/>
              </w:numPr>
              <w:suppressAutoHyphens w:val="0"/>
              <w:jc w:val="left"/>
              <w:rPr>
                <w:rFonts w:cs="Arial"/>
                <w:sz w:val="20"/>
              </w:rPr>
            </w:pPr>
            <w:r w:rsidRPr="00531B89">
              <w:rPr>
                <w:rFonts w:cs="Arial"/>
                <w:sz w:val="20"/>
              </w:rPr>
              <w:t xml:space="preserve">A contract agreement will be signed by the service provider (Head Office in the case of multiples) and will be subject to operational and performance review by Halton Borough Council. </w:t>
            </w:r>
            <w:r w:rsidR="006363B4">
              <w:rPr>
                <w:rFonts w:cs="Arial"/>
                <w:sz w:val="20"/>
              </w:rPr>
              <w:t>The service provider</w:t>
            </w:r>
            <w:r w:rsidR="00CA56DB" w:rsidRPr="00CA56DB">
              <w:rPr>
                <w:rFonts w:cs="Arial"/>
                <w:sz w:val="20"/>
              </w:rPr>
              <w:t xml:space="preserve"> will be given advance </w:t>
            </w:r>
            <w:r w:rsidR="00FE029D">
              <w:rPr>
                <w:rFonts w:cs="Arial"/>
                <w:sz w:val="20"/>
              </w:rPr>
              <w:t xml:space="preserve">written </w:t>
            </w:r>
            <w:r w:rsidR="00CA56DB" w:rsidRPr="00CA56DB">
              <w:rPr>
                <w:rFonts w:cs="Arial"/>
                <w:sz w:val="20"/>
              </w:rPr>
              <w:t>notice of quality assurance visits.</w:t>
            </w:r>
          </w:p>
          <w:p w14:paraId="05794B88" w14:textId="1B7D0349" w:rsidR="00CE4201" w:rsidRPr="00CE4201" w:rsidRDefault="00CE4201">
            <w:pPr>
              <w:rPr>
                <w:rFonts w:cs="Arial"/>
                <w:b/>
                <w:bCs/>
                <w:sz w:val="20"/>
              </w:rPr>
            </w:pPr>
          </w:p>
        </w:tc>
      </w:tr>
      <w:tr w:rsidR="001E2E94" w:rsidRPr="00FA34B0" w14:paraId="55C5B408" w14:textId="77777777" w:rsidTr="006969ED">
        <w:tc>
          <w:tcPr>
            <w:tcW w:w="9016" w:type="dxa"/>
            <w:shd w:val="clear" w:color="auto" w:fill="BFBFBF" w:themeFill="background1" w:themeFillShade="BF"/>
          </w:tcPr>
          <w:p w14:paraId="5A179541" w14:textId="3D46174A" w:rsidR="001E2E94" w:rsidRPr="006969ED" w:rsidRDefault="007B6876">
            <w:pPr>
              <w:rPr>
                <w:rFonts w:cs="Arial"/>
                <w:b/>
                <w:bCs/>
                <w:sz w:val="20"/>
              </w:rPr>
            </w:pPr>
            <w:r w:rsidRPr="006969ED">
              <w:rPr>
                <w:rFonts w:cs="Arial"/>
                <w:b/>
                <w:bCs/>
                <w:sz w:val="20"/>
              </w:rPr>
              <w:t>6. Obligations</w:t>
            </w:r>
          </w:p>
        </w:tc>
      </w:tr>
      <w:tr w:rsidR="001E2E94" w:rsidRPr="00FA34B0" w14:paraId="35976E30" w14:textId="77777777" w:rsidTr="001E2E94">
        <w:tc>
          <w:tcPr>
            <w:tcW w:w="9016" w:type="dxa"/>
          </w:tcPr>
          <w:p w14:paraId="23037D71" w14:textId="74E0078A" w:rsidR="001E2E94" w:rsidRPr="006F0CE9" w:rsidRDefault="007B6876">
            <w:pPr>
              <w:rPr>
                <w:rFonts w:cs="Arial"/>
                <w:b/>
                <w:bCs/>
                <w:sz w:val="20"/>
              </w:rPr>
            </w:pPr>
            <w:r w:rsidRPr="006F0CE9">
              <w:rPr>
                <w:rFonts w:cs="Arial"/>
                <w:b/>
                <w:bCs/>
                <w:sz w:val="20"/>
              </w:rPr>
              <w:t xml:space="preserve">6.1 </w:t>
            </w:r>
            <w:r w:rsidR="00D04498" w:rsidRPr="006F0CE9">
              <w:rPr>
                <w:rFonts w:cs="Arial"/>
                <w:b/>
                <w:bCs/>
                <w:sz w:val="20"/>
              </w:rPr>
              <w:t>Responsibilities of the service provider</w:t>
            </w:r>
          </w:p>
          <w:p w14:paraId="25400A76" w14:textId="77777777" w:rsidR="008212C9" w:rsidRDefault="00014D07" w:rsidP="008212C9">
            <w:pPr>
              <w:suppressAutoHyphens w:val="0"/>
              <w:jc w:val="left"/>
              <w:rPr>
                <w:rFonts w:cs="Arial"/>
                <w:sz w:val="20"/>
                <w:lang w:eastAsia="en-GB"/>
              </w:rPr>
            </w:pPr>
            <w:r w:rsidRPr="008212C9">
              <w:rPr>
                <w:rFonts w:cs="Arial"/>
                <w:sz w:val="20"/>
                <w:lang w:eastAsia="en-GB"/>
              </w:rPr>
              <w:t>The service provider must dispense the NRT products in accordance with timescales described in the protocol.</w:t>
            </w:r>
          </w:p>
          <w:p w14:paraId="36B7F19E" w14:textId="39D115D9" w:rsidR="00014D07" w:rsidRPr="008212C9" w:rsidRDefault="00014D07" w:rsidP="008212C9">
            <w:pPr>
              <w:suppressAutoHyphens w:val="0"/>
              <w:jc w:val="left"/>
              <w:rPr>
                <w:rFonts w:cs="Arial"/>
                <w:sz w:val="20"/>
                <w:lang w:eastAsia="en-GB"/>
              </w:rPr>
            </w:pPr>
            <w:r w:rsidRPr="008212C9">
              <w:rPr>
                <w:rFonts w:cs="Arial"/>
                <w:sz w:val="20"/>
                <w:lang w:eastAsia="en-GB"/>
              </w:rPr>
              <w:t xml:space="preserve"> </w:t>
            </w:r>
          </w:p>
          <w:p w14:paraId="52FCAAD2" w14:textId="77777777" w:rsidR="00014D07" w:rsidRDefault="00014D07" w:rsidP="008212C9">
            <w:pPr>
              <w:suppressAutoHyphens w:val="0"/>
              <w:jc w:val="left"/>
              <w:rPr>
                <w:rFonts w:cs="Arial"/>
                <w:sz w:val="20"/>
                <w:lang w:eastAsia="en-GB"/>
              </w:rPr>
            </w:pPr>
            <w:r w:rsidRPr="008212C9">
              <w:rPr>
                <w:rFonts w:cs="Arial"/>
                <w:sz w:val="20"/>
                <w:lang w:eastAsia="en-GB"/>
              </w:rPr>
              <w:t xml:space="preserve">The service provider will record all information relating to the dispensing of NRT on the client’s PMR. </w:t>
            </w:r>
          </w:p>
          <w:p w14:paraId="6F6B6341" w14:textId="77777777" w:rsidR="008212C9" w:rsidRPr="008212C9" w:rsidRDefault="008212C9" w:rsidP="008212C9">
            <w:pPr>
              <w:suppressAutoHyphens w:val="0"/>
              <w:jc w:val="left"/>
              <w:rPr>
                <w:rFonts w:cs="Arial"/>
                <w:sz w:val="20"/>
                <w:lang w:eastAsia="en-GB"/>
              </w:rPr>
            </w:pPr>
          </w:p>
          <w:p w14:paraId="1979C24A" w14:textId="77777777" w:rsidR="00014D07" w:rsidRDefault="00014D07" w:rsidP="008212C9">
            <w:pPr>
              <w:suppressAutoHyphens w:val="0"/>
              <w:jc w:val="left"/>
              <w:rPr>
                <w:rFonts w:cs="Arial"/>
                <w:sz w:val="20"/>
                <w:lang w:eastAsia="en-GB"/>
              </w:rPr>
            </w:pPr>
            <w:r w:rsidRPr="008212C9">
              <w:rPr>
                <w:rFonts w:cs="Arial"/>
                <w:sz w:val="20"/>
                <w:lang w:eastAsia="en-GB"/>
              </w:rPr>
              <w:t>The service provider will have appropriate smoking cessation material available for the client group to promote its uptake.  This will be provided by the Stop Smoking service.</w:t>
            </w:r>
          </w:p>
          <w:p w14:paraId="6ED6D66E" w14:textId="77777777" w:rsidR="008212C9" w:rsidRPr="008212C9" w:rsidRDefault="008212C9" w:rsidP="008212C9">
            <w:pPr>
              <w:suppressAutoHyphens w:val="0"/>
              <w:jc w:val="left"/>
              <w:rPr>
                <w:rFonts w:cs="Arial"/>
                <w:sz w:val="20"/>
                <w:lang w:eastAsia="en-GB"/>
              </w:rPr>
            </w:pPr>
          </w:p>
          <w:p w14:paraId="6F1F422F" w14:textId="634A070B" w:rsidR="00014D07" w:rsidRDefault="00014D07" w:rsidP="008212C9">
            <w:pPr>
              <w:suppressAutoHyphens w:val="0"/>
              <w:jc w:val="left"/>
              <w:rPr>
                <w:rFonts w:cs="Arial"/>
                <w:sz w:val="20"/>
                <w:lang w:eastAsia="en-GB"/>
              </w:rPr>
            </w:pPr>
            <w:r w:rsidRPr="008212C9">
              <w:rPr>
                <w:rFonts w:cs="Arial"/>
                <w:sz w:val="20"/>
                <w:lang w:eastAsia="en-GB"/>
              </w:rPr>
              <w:t>The service provider will review its standard operating procedures (SOPs) and referral pathways for the service</w:t>
            </w:r>
            <w:r w:rsidR="00076538">
              <w:rPr>
                <w:rFonts w:cs="Arial"/>
                <w:sz w:val="20"/>
                <w:lang w:eastAsia="en-GB"/>
              </w:rPr>
              <w:t xml:space="preserve"> every two years.</w:t>
            </w:r>
          </w:p>
          <w:p w14:paraId="1C63FFCA" w14:textId="77777777" w:rsidR="008212C9" w:rsidRPr="008212C9" w:rsidRDefault="008212C9" w:rsidP="008212C9">
            <w:pPr>
              <w:suppressAutoHyphens w:val="0"/>
              <w:jc w:val="left"/>
              <w:rPr>
                <w:rFonts w:cs="Arial"/>
                <w:sz w:val="20"/>
                <w:lang w:eastAsia="en-GB"/>
              </w:rPr>
            </w:pPr>
          </w:p>
          <w:p w14:paraId="7983265A" w14:textId="1C30F40B" w:rsidR="00014D07" w:rsidRPr="008212C9" w:rsidRDefault="00014D07" w:rsidP="008212C9">
            <w:pPr>
              <w:suppressAutoHyphens w:val="0"/>
              <w:jc w:val="left"/>
              <w:rPr>
                <w:rFonts w:cs="Arial"/>
                <w:sz w:val="20"/>
                <w:lang w:eastAsia="en-GB"/>
              </w:rPr>
            </w:pPr>
            <w:r w:rsidRPr="008212C9">
              <w:rPr>
                <w:rFonts w:cs="Arial"/>
                <w:sz w:val="20"/>
                <w:lang w:eastAsia="en-GB"/>
              </w:rPr>
              <w:t xml:space="preserve">The service provider will co-operate with any locally agreed audits and assessments of service user experience. </w:t>
            </w:r>
            <w:r w:rsidR="00F16AD3">
              <w:rPr>
                <w:rFonts w:cs="Arial"/>
                <w:sz w:val="20"/>
                <w:lang w:eastAsia="en-GB"/>
              </w:rPr>
              <w:t xml:space="preserve"> Advance notice will be provided by the commissioner. </w:t>
            </w:r>
          </w:p>
          <w:p w14:paraId="0B026321" w14:textId="77777777" w:rsidR="00E277CD" w:rsidRPr="00FA34B0" w:rsidRDefault="00E277CD">
            <w:pPr>
              <w:rPr>
                <w:rFonts w:cs="Arial"/>
                <w:sz w:val="20"/>
              </w:rPr>
            </w:pPr>
          </w:p>
          <w:p w14:paraId="4B4A0C38" w14:textId="77777777" w:rsidR="00E333AD" w:rsidRDefault="00E333AD" w:rsidP="00E333AD">
            <w:pPr>
              <w:rPr>
                <w:rFonts w:cs="Arial"/>
                <w:b/>
                <w:bCs/>
                <w:sz w:val="20"/>
              </w:rPr>
            </w:pPr>
            <w:r w:rsidRPr="00CE4201">
              <w:rPr>
                <w:rFonts w:cs="Arial"/>
                <w:b/>
                <w:bCs/>
                <w:sz w:val="20"/>
              </w:rPr>
              <w:t>6.1.1 Professional responsibility</w:t>
            </w:r>
          </w:p>
          <w:p w14:paraId="103E289B" w14:textId="77777777" w:rsidR="00D1555C" w:rsidRPr="00531B89" w:rsidRDefault="00D1555C" w:rsidP="00D1555C">
            <w:pPr>
              <w:contextualSpacing/>
              <w:rPr>
                <w:rFonts w:cs="Arial"/>
                <w:sz w:val="20"/>
              </w:rPr>
            </w:pPr>
            <w:r w:rsidRPr="00531B89">
              <w:rPr>
                <w:rFonts w:cs="Arial"/>
                <w:sz w:val="20"/>
              </w:rPr>
              <w:t>Service specifications do not remove inherent professional obligations or accountability. All pharmacists and registered technicians involved in providing this service must adhere to their professional code of conduct and at no point does this service abrogate their professional responsibility, professional judgement must be used at all times.</w:t>
            </w:r>
          </w:p>
          <w:p w14:paraId="3BA8720A" w14:textId="77777777" w:rsidR="00D1555C" w:rsidRPr="00531B89" w:rsidRDefault="00D1555C" w:rsidP="00D1555C">
            <w:pPr>
              <w:contextualSpacing/>
              <w:rPr>
                <w:rFonts w:cs="Arial"/>
                <w:sz w:val="20"/>
              </w:rPr>
            </w:pPr>
          </w:p>
          <w:p w14:paraId="482BB828" w14:textId="77777777" w:rsidR="00D1555C" w:rsidRPr="00531B89" w:rsidRDefault="00D1555C" w:rsidP="00D1555C">
            <w:pPr>
              <w:contextualSpacing/>
              <w:rPr>
                <w:rFonts w:cs="Arial"/>
                <w:sz w:val="20"/>
              </w:rPr>
            </w:pPr>
            <w:r w:rsidRPr="00531B89">
              <w:rPr>
                <w:rFonts w:cs="Arial"/>
                <w:sz w:val="20"/>
              </w:rPr>
              <w:t>It is the professional’s responsibility to practice only within the bounds of their own competence.</w:t>
            </w:r>
          </w:p>
          <w:p w14:paraId="5044BE28" w14:textId="77777777" w:rsidR="00D1555C" w:rsidRPr="00531B89" w:rsidRDefault="00D1555C" w:rsidP="00D1555C">
            <w:pPr>
              <w:contextualSpacing/>
              <w:rPr>
                <w:rFonts w:cs="Arial"/>
                <w:sz w:val="20"/>
              </w:rPr>
            </w:pPr>
          </w:p>
          <w:p w14:paraId="783FE662" w14:textId="77777777" w:rsidR="00D1555C" w:rsidRPr="00531B89" w:rsidRDefault="00D1555C" w:rsidP="00D1555C">
            <w:pPr>
              <w:rPr>
                <w:rFonts w:cs="Arial"/>
                <w:sz w:val="20"/>
              </w:rPr>
            </w:pPr>
            <w:r w:rsidRPr="00531B89">
              <w:rPr>
                <w:rFonts w:cs="Arial"/>
                <w:sz w:val="20"/>
              </w:rPr>
              <w:t xml:space="preserve">The responsible pharmacist on each given day has overall responsibility for ensuring the service is delivered in accordance with this service specification.  </w:t>
            </w:r>
          </w:p>
          <w:p w14:paraId="139B87C1" w14:textId="77777777" w:rsidR="001534F4" w:rsidRPr="00CE4201" w:rsidRDefault="001534F4" w:rsidP="00E333AD">
            <w:pPr>
              <w:rPr>
                <w:rFonts w:cs="Arial"/>
                <w:b/>
                <w:bCs/>
                <w:sz w:val="20"/>
              </w:rPr>
            </w:pPr>
          </w:p>
          <w:p w14:paraId="30C74FDA" w14:textId="77777777" w:rsidR="00E333AD" w:rsidRDefault="00E333AD" w:rsidP="00E333AD">
            <w:pPr>
              <w:rPr>
                <w:rFonts w:cs="Arial"/>
                <w:b/>
                <w:bCs/>
                <w:sz w:val="20"/>
              </w:rPr>
            </w:pPr>
            <w:r w:rsidRPr="00CE4201">
              <w:rPr>
                <w:rFonts w:cs="Arial"/>
                <w:b/>
                <w:bCs/>
                <w:sz w:val="20"/>
              </w:rPr>
              <w:t>6.1.2 Standard Operating Procedures</w:t>
            </w:r>
          </w:p>
          <w:p w14:paraId="2E7C5C34" w14:textId="77777777" w:rsidR="00D61116" w:rsidRDefault="00D61116" w:rsidP="00D61116">
            <w:pPr>
              <w:rPr>
                <w:rFonts w:cs="Arial"/>
                <w:sz w:val="20"/>
              </w:rPr>
            </w:pPr>
            <w:r w:rsidRPr="00531B89">
              <w:rPr>
                <w:rFonts w:cs="Arial"/>
                <w:sz w:val="20"/>
              </w:rPr>
              <w:t>The service provider will develop a Standard Operating Procedure (SOP) which specifically details the operational delivery of this service.</w:t>
            </w:r>
          </w:p>
          <w:p w14:paraId="73F00FCD" w14:textId="77777777" w:rsidR="00D61116" w:rsidRPr="00531B89" w:rsidRDefault="00D61116" w:rsidP="00D61116">
            <w:pPr>
              <w:rPr>
                <w:rFonts w:cs="Arial"/>
                <w:sz w:val="20"/>
              </w:rPr>
            </w:pPr>
          </w:p>
          <w:p w14:paraId="73E9F1A2" w14:textId="56616050" w:rsidR="00D61116" w:rsidRDefault="00D61116" w:rsidP="00D61116">
            <w:pPr>
              <w:rPr>
                <w:rFonts w:cs="Arial"/>
                <w:sz w:val="20"/>
              </w:rPr>
            </w:pPr>
            <w:r w:rsidRPr="00531B89">
              <w:rPr>
                <w:rFonts w:cs="Arial"/>
                <w:sz w:val="20"/>
              </w:rPr>
              <w:t xml:space="preserve">The SOP will be reviewed at least every two years or before if circumstances dictate. </w:t>
            </w:r>
            <w:r w:rsidR="00827FE1" w:rsidRPr="00827FE1">
              <w:rPr>
                <w:rFonts w:cs="Arial"/>
                <w:sz w:val="20"/>
              </w:rPr>
              <w:t>Staff delivering the service must be trained in the SOP and a training record held by the provider.</w:t>
            </w:r>
          </w:p>
          <w:p w14:paraId="6760C633" w14:textId="77777777" w:rsidR="00D61116" w:rsidRPr="00531B89" w:rsidRDefault="00D61116" w:rsidP="00D61116">
            <w:pPr>
              <w:rPr>
                <w:rFonts w:cs="Arial"/>
                <w:sz w:val="20"/>
              </w:rPr>
            </w:pPr>
          </w:p>
          <w:p w14:paraId="70E7BD46" w14:textId="77777777" w:rsidR="00D61116" w:rsidRDefault="00D61116" w:rsidP="00D61116">
            <w:pPr>
              <w:rPr>
                <w:rFonts w:cs="Arial"/>
                <w:sz w:val="20"/>
              </w:rPr>
            </w:pPr>
            <w:r w:rsidRPr="00531B89">
              <w:rPr>
                <w:rFonts w:cs="Arial"/>
                <w:sz w:val="20"/>
              </w:rPr>
              <w:lastRenderedPageBreak/>
              <w:t>The service provider must ensure that all staff including those other than pharmacists, involved in the provision of the service, have relevant knowledge, are appropriately trained and operate within the SOP, this includes sensitive client centred communication skills.</w:t>
            </w:r>
          </w:p>
          <w:p w14:paraId="58974833" w14:textId="77777777" w:rsidR="00D61116" w:rsidRPr="00531B89" w:rsidRDefault="00D61116" w:rsidP="00D61116">
            <w:pPr>
              <w:rPr>
                <w:rFonts w:cs="Arial"/>
                <w:sz w:val="20"/>
              </w:rPr>
            </w:pPr>
          </w:p>
          <w:p w14:paraId="412D1C74" w14:textId="05551627" w:rsidR="00142BF9" w:rsidRDefault="00D61116" w:rsidP="00D61116">
            <w:pPr>
              <w:rPr>
                <w:rFonts w:cs="Arial"/>
                <w:sz w:val="20"/>
              </w:rPr>
            </w:pPr>
            <w:r w:rsidRPr="00531B89">
              <w:rPr>
                <w:rFonts w:cs="Arial"/>
                <w:sz w:val="20"/>
              </w:rPr>
              <w:t>Changes to procedure must be highlighted within the SOP for special attention.</w:t>
            </w:r>
          </w:p>
          <w:p w14:paraId="27A7E098" w14:textId="77777777" w:rsidR="00D61116" w:rsidRPr="00CE4201" w:rsidRDefault="00D61116" w:rsidP="00D61116">
            <w:pPr>
              <w:rPr>
                <w:rFonts w:cs="Arial"/>
                <w:b/>
                <w:bCs/>
                <w:sz w:val="20"/>
              </w:rPr>
            </w:pPr>
          </w:p>
          <w:p w14:paraId="7291EE5F" w14:textId="77777777" w:rsidR="003325FC" w:rsidRDefault="003325FC" w:rsidP="003325FC">
            <w:pPr>
              <w:rPr>
                <w:rFonts w:cs="Arial"/>
                <w:b/>
                <w:bCs/>
                <w:sz w:val="20"/>
              </w:rPr>
            </w:pPr>
            <w:r w:rsidRPr="00CE4201">
              <w:rPr>
                <w:rFonts w:cs="Arial"/>
                <w:b/>
                <w:bCs/>
                <w:sz w:val="20"/>
              </w:rPr>
              <w:t>6.2 Responsibilities of Halton Borough Council (HBC) and the Stop Smoking Service</w:t>
            </w:r>
          </w:p>
          <w:p w14:paraId="0438BD2B" w14:textId="77777777" w:rsidR="00886855" w:rsidRDefault="00886855" w:rsidP="00886855">
            <w:pPr>
              <w:widowControl w:val="0"/>
              <w:tabs>
                <w:tab w:val="left" w:pos="204"/>
                <w:tab w:val="left" w:pos="5040"/>
              </w:tabs>
              <w:rPr>
                <w:rFonts w:cs="Arial"/>
                <w:sz w:val="20"/>
              </w:rPr>
            </w:pPr>
            <w:r w:rsidRPr="00531B89">
              <w:rPr>
                <w:rFonts w:cs="Arial"/>
                <w:sz w:val="20"/>
              </w:rPr>
              <w:t xml:space="preserve">All materials required including documentation and smoking cessation leaflets will be supplied free of charge to the pharmacy by the Stop Smoking service. </w:t>
            </w:r>
          </w:p>
          <w:p w14:paraId="2CA2A24E" w14:textId="77777777" w:rsidR="00886855" w:rsidRPr="00531B89" w:rsidRDefault="00886855" w:rsidP="00886855">
            <w:pPr>
              <w:widowControl w:val="0"/>
              <w:tabs>
                <w:tab w:val="left" w:pos="204"/>
                <w:tab w:val="left" w:pos="5040"/>
              </w:tabs>
              <w:rPr>
                <w:rFonts w:cs="Arial"/>
                <w:sz w:val="20"/>
              </w:rPr>
            </w:pPr>
          </w:p>
          <w:p w14:paraId="0FBDD97D" w14:textId="2DC6B2ED" w:rsidR="00886855" w:rsidRDefault="00886855" w:rsidP="00886855">
            <w:pPr>
              <w:widowControl w:val="0"/>
              <w:tabs>
                <w:tab w:val="left" w:pos="204"/>
                <w:tab w:val="left" w:pos="5040"/>
              </w:tabs>
              <w:rPr>
                <w:rFonts w:cs="Arial"/>
                <w:sz w:val="20"/>
              </w:rPr>
            </w:pPr>
            <w:r w:rsidRPr="00531B89">
              <w:rPr>
                <w:rFonts w:cs="Arial"/>
                <w:sz w:val="20"/>
              </w:rPr>
              <w:t>HBC will reimburse the pharmacy for the total cost of NRT including VAT</w:t>
            </w:r>
            <w:r w:rsidR="00B87272">
              <w:rPr>
                <w:rFonts w:cs="Arial"/>
                <w:sz w:val="20"/>
              </w:rPr>
              <w:t xml:space="preserve"> (5%)</w:t>
            </w:r>
            <w:r w:rsidRPr="00531B89">
              <w:rPr>
                <w:rFonts w:cs="Arial"/>
                <w:sz w:val="20"/>
              </w:rPr>
              <w:t xml:space="preserve"> plus a dispensing fee for each voucher processed. </w:t>
            </w:r>
          </w:p>
          <w:p w14:paraId="5B4837E8" w14:textId="77777777" w:rsidR="005C04D1" w:rsidRPr="00531B89" w:rsidRDefault="005C04D1" w:rsidP="00886855">
            <w:pPr>
              <w:widowControl w:val="0"/>
              <w:tabs>
                <w:tab w:val="left" w:pos="204"/>
                <w:tab w:val="left" w:pos="5040"/>
              </w:tabs>
              <w:rPr>
                <w:rFonts w:cs="Arial"/>
                <w:sz w:val="20"/>
              </w:rPr>
            </w:pPr>
          </w:p>
          <w:p w14:paraId="014D531A" w14:textId="76395F6A" w:rsidR="00886855" w:rsidRDefault="00886855" w:rsidP="00886855">
            <w:pPr>
              <w:widowControl w:val="0"/>
              <w:tabs>
                <w:tab w:val="left" w:pos="204"/>
                <w:tab w:val="left" w:pos="5040"/>
              </w:tabs>
              <w:rPr>
                <w:rFonts w:cs="Arial"/>
                <w:sz w:val="20"/>
              </w:rPr>
            </w:pPr>
            <w:r w:rsidRPr="00531B89">
              <w:rPr>
                <w:rFonts w:cs="Arial"/>
                <w:sz w:val="20"/>
              </w:rPr>
              <w:t>HBC will provide a framework for recording relevant service information for the purposes of audit and claiming payment</w:t>
            </w:r>
            <w:r>
              <w:rPr>
                <w:rFonts w:cs="Arial"/>
                <w:sz w:val="20"/>
              </w:rPr>
              <w:t>.</w:t>
            </w:r>
          </w:p>
          <w:p w14:paraId="4BF52943" w14:textId="77777777" w:rsidR="00886855" w:rsidRPr="00531B89" w:rsidRDefault="00886855" w:rsidP="00886855">
            <w:pPr>
              <w:widowControl w:val="0"/>
              <w:tabs>
                <w:tab w:val="left" w:pos="204"/>
                <w:tab w:val="left" w:pos="5040"/>
              </w:tabs>
              <w:rPr>
                <w:rFonts w:cs="Arial"/>
                <w:sz w:val="20"/>
              </w:rPr>
            </w:pPr>
          </w:p>
          <w:p w14:paraId="0E79B2E3" w14:textId="77777777" w:rsidR="00886855" w:rsidRDefault="00886855" w:rsidP="00886855">
            <w:pPr>
              <w:widowControl w:val="0"/>
              <w:tabs>
                <w:tab w:val="left" w:pos="204"/>
                <w:tab w:val="left" w:pos="5040"/>
              </w:tabs>
              <w:rPr>
                <w:rFonts w:cs="Arial"/>
                <w:sz w:val="20"/>
              </w:rPr>
            </w:pPr>
            <w:r w:rsidRPr="00531B89">
              <w:rPr>
                <w:rFonts w:cs="Arial"/>
                <w:sz w:val="20"/>
              </w:rPr>
              <w:t xml:space="preserve">The Stop Smoking service will be responsible for the promotion of the service locally including the development of publicity materials. </w:t>
            </w:r>
          </w:p>
          <w:p w14:paraId="11216558" w14:textId="77777777" w:rsidR="00886855" w:rsidRPr="00531B89" w:rsidRDefault="00886855" w:rsidP="00886855">
            <w:pPr>
              <w:widowControl w:val="0"/>
              <w:tabs>
                <w:tab w:val="left" w:pos="204"/>
                <w:tab w:val="left" w:pos="5040"/>
              </w:tabs>
              <w:rPr>
                <w:rFonts w:cs="Arial"/>
                <w:sz w:val="20"/>
              </w:rPr>
            </w:pPr>
          </w:p>
          <w:p w14:paraId="427EF9E3" w14:textId="77777777" w:rsidR="00886855" w:rsidRDefault="00886855" w:rsidP="00886855">
            <w:pPr>
              <w:widowControl w:val="0"/>
              <w:tabs>
                <w:tab w:val="left" w:pos="204"/>
              </w:tabs>
              <w:rPr>
                <w:rFonts w:cs="Arial"/>
                <w:sz w:val="20"/>
              </w:rPr>
            </w:pPr>
            <w:r w:rsidRPr="00531B89">
              <w:rPr>
                <w:rFonts w:cs="Arial"/>
                <w:sz w:val="20"/>
              </w:rPr>
              <w:t>The Stop Smoking service will provide details of allied services which pharmacy staff can use to signpost clients who require further assistance.</w:t>
            </w:r>
          </w:p>
          <w:p w14:paraId="6DD068E8" w14:textId="49399E69" w:rsidR="00886855" w:rsidRPr="00531B89" w:rsidRDefault="00886855" w:rsidP="00886855">
            <w:pPr>
              <w:widowControl w:val="0"/>
              <w:tabs>
                <w:tab w:val="left" w:pos="204"/>
              </w:tabs>
              <w:rPr>
                <w:rFonts w:cs="Arial"/>
                <w:sz w:val="20"/>
              </w:rPr>
            </w:pPr>
            <w:r w:rsidRPr="00531B89">
              <w:rPr>
                <w:rFonts w:cs="Arial"/>
                <w:sz w:val="20"/>
              </w:rPr>
              <w:t xml:space="preserve"> </w:t>
            </w:r>
          </w:p>
          <w:p w14:paraId="6F558BB2" w14:textId="349EE9AF" w:rsidR="00886855" w:rsidRDefault="00886855" w:rsidP="00886855">
            <w:pPr>
              <w:rPr>
                <w:rFonts w:cs="Arial"/>
                <w:sz w:val="20"/>
              </w:rPr>
            </w:pPr>
            <w:r w:rsidRPr="00531B89">
              <w:rPr>
                <w:rFonts w:cs="Arial"/>
                <w:sz w:val="20"/>
              </w:rPr>
              <w:t xml:space="preserve">HBC will periodically review the service. </w:t>
            </w:r>
            <w:r w:rsidR="00572F79" w:rsidRPr="00572F79">
              <w:rPr>
                <w:rFonts w:cs="Arial"/>
                <w:sz w:val="20"/>
              </w:rPr>
              <w:t>Changes to the level or quality of the service will not be introduced without prior agreement between the commissioner and the service provider. Changes will be authorised in writing.</w:t>
            </w:r>
          </w:p>
          <w:p w14:paraId="7C50B5C8" w14:textId="77777777" w:rsidR="003325FC" w:rsidRPr="00CE4201" w:rsidRDefault="003325FC" w:rsidP="003325FC">
            <w:pPr>
              <w:rPr>
                <w:rFonts w:cs="Arial"/>
                <w:b/>
                <w:bCs/>
                <w:sz w:val="20"/>
              </w:rPr>
            </w:pPr>
          </w:p>
          <w:p w14:paraId="67E1A8A8" w14:textId="22AEEAF1" w:rsidR="007B6876" w:rsidRDefault="007B6876">
            <w:pPr>
              <w:rPr>
                <w:rFonts w:cs="Arial"/>
                <w:b/>
                <w:bCs/>
                <w:sz w:val="20"/>
              </w:rPr>
            </w:pPr>
            <w:r w:rsidRPr="00CE4201">
              <w:rPr>
                <w:rFonts w:cs="Arial"/>
                <w:b/>
                <w:bCs/>
                <w:sz w:val="20"/>
              </w:rPr>
              <w:t>6.3 Service provision and continuity</w:t>
            </w:r>
          </w:p>
          <w:p w14:paraId="72FE32BD" w14:textId="77777777" w:rsidR="00125C1F" w:rsidRPr="00531B89" w:rsidRDefault="00125C1F" w:rsidP="00125C1F">
            <w:pPr>
              <w:contextualSpacing/>
              <w:rPr>
                <w:rFonts w:cs="Arial"/>
                <w:sz w:val="20"/>
              </w:rPr>
            </w:pPr>
            <w:r w:rsidRPr="00531B89">
              <w:rPr>
                <w:rFonts w:cs="Arial"/>
                <w:sz w:val="20"/>
              </w:rPr>
              <w:t>It is the responsibility of the service provider to have a process in place which ensures that all new staff and locums are aware of all services provided by the pharmacy and commissioned by Halton BC and must maintain continuity of service during and after staff changes.</w:t>
            </w:r>
          </w:p>
          <w:p w14:paraId="4BB338D0" w14:textId="31EB04BC" w:rsidR="00BF1933" w:rsidRPr="00FA34B0" w:rsidRDefault="00BF1933" w:rsidP="00131B78">
            <w:pPr>
              <w:rPr>
                <w:rFonts w:cs="Arial"/>
                <w:sz w:val="20"/>
              </w:rPr>
            </w:pPr>
          </w:p>
        </w:tc>
      </w:tr>
      <w:tr w:rsidR="001E2E94" w:rsidRPr="00FA34B0" w14:paraId="061F6506" w14:textId="77777777" w:rsidTr="006969ED">
        <w:tc>
          <w:tcPr>
            <w:tcW w:w="9016" w:type="dxa"/>
            <w:shd w:val="clear" w:color="auto" w:fill="BFBFBF" w:themeFill="background1" w:themeFillShade="BF"/>
          </w:tcPr>
          <w:p w14:paraId="122DE7B9" w14:textId="14B58DE5" w:rsidR="001E2E94" w:rsidRPr="006969ED" w:rsidRDefault="007B6876">
            <w:pPr>
              <w:rPr>
                <w:rFonts w:cs="Arial"/>
                <w:b/>
                <w:bCs/>
                <w:sz w:val="20"/>
              </w:rPr>
            </w:pPr>
            <w:r w:rsidRPr="006969ED">
              <w:rPr>
                <w:rFonts w:cs="Arial"/>
                <w:b/>
                <w:bCs/>
                <w:sz w:val="20"/>
              </w:rPr>
              <w:lastRenderedPageBreak/>
              <w:t xml:space="preserve">7. Training and Competency </w:t>
            </w:r>
          </w:p>
        </w:tc>
      </w:tr>
      <w:tr w:rsidR="001E2E94" w:rsidRPr="00FA34B0" w14:paraId="416A12E5" w14:textId="77777777" w:rsidTr="001E2E94">
        <w:tc>
          <w:tcPr>
            <w:tcW w:w="9016" w:type="dxa"/>
          </w:tcPr>
          <w:p w14:paraId="1224F0FD" w14:textId="77777777" w:rsidR="001100D5" w:rsidRPr="00531B89" w:rsidRDefault="001100D5" w:rsidP="001100D5">
            <w:pPr>
              <w:contextualSpacing/>
              <w:rPr>
                <w:rFonts w:cs="Arial"/>
                <w:sz w:val="20"/>
              </w:rPr>
            </w:pPr>
            <w:r w:rsidRPr="00531B89">
              <w:rPr>
                <w:rFonts w:cs="Arial"/>
                <w:sz w:val="20"/>
              </w:rPr>
              <w:t>In order to deliver the service on behalf of Halton Borough Council community pharmacists must</w:t>
            </w:r>
            <w:r>
              <w:rPr>
                <w:rFonts w:cs="Arial"/>
                <w:sz w:val="20"/>
              </w:rPr>
              <w:t>:</w:t>
            </w:r>
          </w:p>
          <w:p w14:paraId="716C3550" w14:textId="77777777" w:rsidR="00726486" w:rsidRPr="00531B89" w:rsidRDefault="00726486" w:rsidP="00726486">
            <w:pPr>
              <w:numPr>
                <w:ilvl w:val="0"/>
                <w:numId w:val="16"/>
              </w:numPr>
              <w:suppressAutoHyphens w:val="0"/>
              <w:contextualSpacing/>
              <w:rPr>
                <w:rFonts w:cs="Arial"/>
                <w:sz w:val="20"/>
              </w:rPr>
            </w:pPr>
            <w:r w:rsidRPr="00531B89">
              <w:rPr>
                <w:rFonts w:cs="Arial"/>
                <w:sz w:val="20"/>
              </w:rPr>
              <w:t xml:space="preserve">Be registered with the General Pharmaceutical Council (GPhC); </w:t>
            </w:r>
          </w:p>
          <w:p w14:paraId="5F462CCE" w14:textId="77777777" w:rsidR="00726486" w:rsidRPr="00531B89" w:rsidRDefault="00726486" w:rsidP="00726486">
            <w:pPr>
              <w:pStyle w:val="ListParagraph"/>
              <w:numPr>
                <w:ilvl w:val="0"/>
                <w:numId w:val="16"/>
              </w:numPr>
              <w:suppressAutoHyphens w:val="0"/>
              <w:jc w:val="left"/>
              <w:rPr>
                <w:rFonts w:cs="Arial"/>
                <w:sz w:val="20"/>
              </w:rPr>
            </w:pPr>
            <w:r w:rsidRPr="00531B89">
              <w:rPr>
                <w:rFonts w:cs="Arial"/>
                <w:sz w:val="20"/>
              </w:rPr>
              <w:t>Be working in a pharmacy contracted to NHS England;</w:t>
            </w:r>
          </w:p>
          <w:p w14:paraId="746F1BA4" w14:textId="77777777" w:rsidR="00726486" w:rsidRPr="00531B89" w:rsidRDefault="00726486" w:rsidP="00726486">
            <w:pPr>
              <w:numPr>
                <w:ilvl w:val="0"/>
                <w:numId w:val="16"/>
              </w:numPr>
              <w:suppressAutoHyphens w:val="0"/>
              <w:contextualSpacing/>
              <w:rPr>
                <w:rFonts w:cs="Arial"/>
                <w:sz w:val="20"/>
              </w:rPr>
            </w:pPr>
            <w:r w:rsidRPr="00531B89">
              <w:rPr>
                <w:rFonts w:cs="Arial"/>
                <w:sz w:val="20"/>
              </w:rPr>
              <w:t>Accredited pharmacies must at all times supply NRT in accordance with the Halton Stop Smoking Service protocol;</w:t>
            </w:r>
          </w:p>
          <w:p w14:paraId="02D24216" w14:textId="77777777" w:rsidR="00726486" w:rsidRPr="00531B89" w:rsidRDefault="00726486" w:rsidP="00726486">
            <w:pPr>
              <w:numPr>
                <w:ilvl w:val="0"/>
                <w:numId w:val="16"/>
              </w:numPr>
              <w:suppressAutoHyphens w:val="0"/>
              <w:contextualSpacing/>
              <w:rPr>
                <w:rFonts w:cs="Arial"/>
                <w:sz w:val="20"/>
              </w:rPr>
            </w:pPr>
            <w:r w:rsidRPr="00531B89">
              <w:rPr>
                <w:rFonts w:cs="Arial"/>
                <w:sz w:val="20"/>
              </w:rPr>
              <w:t>Whilst trained and competent staff may be authorised by the pharmacist to undertake tasks and record data the overall clinical responsibility for smoking cessation advice, supply of smoking cessation products or onward referral lies with the pharmacist;</w:t>
            </w:r>
          </w:p>
          <w:p w14:paraId="573DEA08" w14:textId="77777777" w:rsidR="00726486" w:rsidRPr="00531B89" w:rsidRDefault="00726486" w:rsidP="00726486">
            <w:pPr>
              <w:pStyle w:val="ListParagraph"/>
              <w:numPr>
                <w:ilvl w:val="0"/>
                <w:numId w:val="16"/>
              </w:numPr>
              <w:contextualSpacing w:val="0"/>
              <w:rPr>
                <w:rFonts w:cs="Arial"/>
                <w:sz w:val="20"/>
              </w:rPr>
            </w:pPr>
            <w:r w:rsidRPr="00531B89">
              <w:rPr>
                <w:rFonts w:cs="Arial"/>
                <w:sz w:val="20"/>
              </w:rPr>
              <w:t>A staff training log must be available for inspection, by arrangement;</w:t>
            </w:r>
          </w:p>
          <w:p w14:paraId="7D481CE8" w14:textId="77777777" w:rsidR="00726486" w:rsidRPr="00531B89" w:rsidRDefault="00726486" w:rsidP="00726486">
            <w:pPr>
              <w:pStyle w:val="ListParagraph"/>
              <w:numPr>
                <w:ilvl w:val="0"/>
                <w:numId w:val="16"/>
              </w:numPr>
              <w:contextualSpacing w:val="0"/>
              <w:rPr>
                <w:rFonts w:cs="Arial"/>
                <w:sz w:val="20"/>
              </w:rPr>
            </w:pPr>
            <w:r w:rsidRPr="00531B89">
              <w:rPr>
                <w:rFonts w:cs="Arial"/>
                <w:sz w:val="20"/>
              </w:rPr>
              <w:t>The service provider must ensure that there are systems in place to make locum pharmacists aware of the service;</w:t>
            </w:r>
          </w:p>
          <w:p w14:paraId="5289E59E" w14:textId="77777777" w:rsidR="00726486" w:rsidRPr="00531B89" w:rsidRDefault="00726486" w:rsidP="00726486">
            <w:pPr>
              <w:pStyle w:val="ListParagraph"/>
              <w:numPr>
                <w:ilvl w:val="0"/>
                <w:numId w:val="16"/>
              </w:numPr>
              <w:contextualSpacing w:val="0"/>
              <w:rPr>
                <w:rFonts w:cs="Arial"/>
                <w:sz w:val="20"/>
              </w:rPr>
            </w:pPr>
            <w:r w:rsidRPr="00531B89">
              <w:rPr>
                <w:rFonts w:cs="Arial"/>
                <w:sz w:val="20"/>
              </w:rPr>
              <w:t>Locum pharmacists operate under the same procedures and protocols as permanent staff and must have completed the appropriate training to deliver this service;</w:t>
            </w:r>
          </w:p>
          <w:p w14:paraId="10E06C1A" w14:textId="77777777" w:rsidR="001E2E94" w:rsidRDefault="00726486" w:rsidP="00726486">
            <w:pPr>
              <w:pStyle w:val="ListParagraph"/>
              <w:numPr>
                <w:ilvl w:val="0"/>
                <w:numId w:val="16"/>
              </w:numPr>
              <w:rPr>
                <w:rFonts w:cs="Arial"/>
                <w:sz w:val="20"/>
              </w:rPr>
            </w:pPr>
            <w:r w:rsidRPr="00726486">
              <w:rPr>
                <w:rFonts w:cs="Arial"/>
                <w:sz w:val="20"/>
              </w:rPr>
              <w:t>The service provider will maintain training records in accordance with this specification and will show evidence of this to Halton BC as and when requested.</w:t>
            </w:r>
          </w:p>
          <w:p w14:paraId="1661CFB5" w14:textId="269BD5FB" w:rsidR="00125C1F" w:rsidRPr="00726486" w:rsidRDefault="00125C1F" w:rsidP="00125C1F">
            <w:pPr>
              <w:pStyle w:val="ListParagraph"/>
              <w:rPr>
                <w:rFonts w:cs="Arial"/>
                <w:sz w:val="20"/>
              </w:rPr>
            </w:pPr>
          </w:p>
        </w:tc>
      </w:tr>
      <w:tr w:rsidR="001E2E94" w:rsidRPr="00FA34B0" w14:paraId="2FE70FD9" w14:textId="77777777" w:rsidTr="006969ED">
        <w:tc>
          <w:tcPr>
            <w:tcW w:w="9016" w:type="dxa"/>
            <w:shd w:val="clear" w:color="auto" w:fill="BFBFBF" w:themeFill="background1" w:themeFillShade="BF"/>
          </w:tcPr>
          <w:p w14:paraId="3B2C5C8B" w14:textId="097AA625" w:rsidR="001E2E94" w:rsidRPr="006969ED" w:rsidRDefault="007B6876">
            <w:pPr>
              <w:rPr>
                <w:rFonts w:cs="Arial"/>
                <w:b/>
                <w:bCs/>
                <w:sz w:val="20"/>
              </w:rPr>
            </w:pPr>
            <w:r w:rsidRPr="006969ED">
              <w:rPr>
                <w:rFonts w:cs="Arial"/>
                <w:b/>
                <w:bCs/>
                <w:sz w:val="20"/>
              </w:rPr>
              <w:t xml:space="preserve">8. Welfare </w:t>
            </w:r>
          </w:p>
        </w:tc>
      </w:tr>
      <w:tr w:rsidR="007B6876" w:rsidRPr="00FA34B0" w14:paraId="3FD3C993" w14:textId="77777777" w:rsidTr="001E2E94">
        <w:tc>
          <w:tcPr>
            <w:tcW w:w="9016" w:type="dxa"/>
          </w:tcPr>
          <w:p w14:paraId="1219B48D" w14:textId="77777777" w:rsidR="00987276" w:rsidRDefault="00987276" w:rsidP="00987276">
            <w:pPr>
              <w:rPr>
                <w:rFonts w:cs="Arial"/>
                <w:sz w:val="20"/>
                <w:lang w:eastAsia="en-GB"/>
              </w:rPr>
            </w:pPr>
            <w:r w:rsidRPr="00531B89">
              <w:rPr>
                <w:rFonts w:cs="Arial"/>
                <w:sz w:val="20"/>
                <w:lang w:eastAsia="en-GB"/>
              </w:rPr>
              <w:t>Where there are concerns about the welfare of any person aged 0 to 18 within the pharmacy setting and/or accessing the service appropriate immediate action must be taken to address those concerns by following the Safeguarding pathway.</w:t>
            </w:r>
          </w:p>
          <w:p w14:paraId="5D175C70" w14:textId="77777777" w:rsidR="00987276" w:rsidRPr="00531B89" w:rsidRDefault="00987276" w:rsidP="00987276">
            <w:pPr>
              <w:rPr>
                <w:rFonts w:cs="Arial"/>
                <w:sz w:val="20"/>
                <w:lang w:eastAsia="en-GB"/>
              </w:rPr>
            </w:pPr>
          </w:p>
          <w:p w14:paraId="7F3032B3" w14:textId="77777777" w:rsidR="00987276" w:rsidRDefault="00987276" w:rsidP="00987276">
            <w:pPr>
              <w:rPr>
                <w:rFonts w:cs="Arial"/>
                <w:sz w:val="20"/>
                <w:lang w:eastAsia="en-GB"/>
              </w:rPr>
            </w:pPr>
            <w:r w:rsidRPr="00531B89">
              <w:rPr>
                <w:rFonts w:cs="Arial"/>
                <w:sz w:val="20"/>
                <w:lang w:eastAsia="en-GB"/>
              </w:rPr>
              <w:t>Additional information on Child Safeguarding procedures can be found at:</w:t>
            </w:r>
          </w:p>
          <w:p w14:paraId="55707FFF" w14:textId="77777777" w:rsidR="00987276" w:rsidRPr="00531B89" w:rsidRDefault="00987276" w:rsidP="00987276">
            <w:pPr>
              <w:rPr>
                <w:rStyle w:val="Hyperlink"/>
                <w:rFonts w:cs="Arial"/>
                <w:sz w:val="20"/>
              </w:rPr>
            </w:pPr>
          </w:p>
          <w:p w14:paraId="7716070B" w14:textId="77777777" w:rsidR="00987276" w:rsidRDefault="00987276" w:rsidP="00987276">
            <w:pPr>
              <w:rPr>
                <w:rStyle w:val="Hyperlink"/>
                <w:rFonts w:cs="Arial"/>
                <w:sz w:val="20"/>
              </w:rPr>
            </w:pPr>
            <w:hyperlink r:id="rId8" w:history="1">
              <w:r w:rsidRPr="00531B89">
                <w:rPr>
                  <w:rStyle w:val="Hyperlink"/>
                  <w:rFonts w:cs="Arial"/>
                  <w:sz w:val="20"/>
                </w:rPr>
                <w:t>https://hcypsp.haltonsafeguarding.co.uk/</w:t>
              </w:r>
            </w:hyperlink>
          </w:p>
          <w:p w14:paraId="7958907E" w14:textId="77777777" w:rsidR="00987276" w:rsidRPr="00531B89" w:rsidRDefault="00987276" w:rsidP="00987276">
            <w:pPr>
              <w:rPr>
                <w:rStyle w:val="Hyperlink"/>
                <w:rFonts w:cs="Arial"/>
                <w:sz w:val="20"/>
              </w:rPr>
            </w:pPr>
          </w:p>
          <w:p w14:paraId="23192151" w14:textId="77777777" w:rsidR="00987276" w:rsidRDefault="00987276" w:rsidP="00987276">
            <w:pPr>
              <w:rPr>
                <w:rFonts w:cs="Arial"/>
                <w:sz w:val="20"/>
                <w:lang w:eastAsia="en-GB"/>
              </w:rPr>
            </w:pPr>
            <w:hyperlink r:id="rId9" w:history="1">
              <w:r w:rsidRPr="00531B89">
                <w:rPr>
                  <w:rStyle w:val="Hyperlink"/>
                  <w:rFonts w:cs="Arial"/>
                  <w:sz w:val="20"/>
                </w:rPr>
                <w:t>https://hcypsp.haltonsafeguarding.co.uk/procedures-guidance/</w:t>
              </w:r>
            </w:hyperlink>
            <w:r w:rsidRPr="00531B89">
              <w:rPr>
                <w:rFonts w:cs="Arial"/>
                <w:sz w:val="20"/>
                <w:lang w:eastAsia="en-GB"/>
              </w:rPr>
              <w:t xml:space="preserve"> </w:t>
            </w:r>
          </w:p>
          <w:p w14:paraId="0E6F5206" w14:textId="77777777" w:rsidR="00092626" w:rsidRPr="00531B89" w:rsidRDefault="00092626" w:rsidP="00987276">
            <w:pPr>
              <w:rPr>
                <w:rFonts w:cs="Arial"/>
                <w:sz w:val="20"/>
                <w:lang w:eastAsia="en-GB"/>
              </w:rPr>
            </w:pPr>
          </w:p>
          <w:p w14:paraId="161FDEB2" w14:textId="77777777" w:rsidR="00987276" w:rsidRPr="00531B89" w:rsidRDefault="00987276" w:rsidP="00987276">
            <w:pPr>
              <w:rPr>
                <w:rFonts w:cs="Arial"/>
                <w:sz w:val="20"/>
                <w:lang w:eastAsia="en-GB"/>
              </w:rPr>
            </w:pPr>
            <w:r w:rsidRPr="00531B89">
              <w:rPr>
                <w:rFonts w:cs="Arial"/>
                <w:sz w:val="20"/>
                <w:lang w:eastAsia="en-GB"/>
              </w:rPr>
              <w:lastRenderedPageBreak/>
              <w:t>If there are concerns about the welfare of someone over the age of 18 pharmacists are required to contact Halton Borough Council on 0303 333 4300 (this will be picked up by the Emergency Duty Team if outside of normal office hours) or if there is an immediate threat to safety or wellbeing the pharmacist should contact the Police.</w:t>
            </w:r>
          </w:p>
          <w:p w14:paraId="2568C82A" w14:textId="77777777" w:rsidR="007B6876" w:rsidRPr="00FA34B0" w:rsidRDefault="007B6876" w:rsidP="007E599D">
            <w:pPr>
              <w:rPr>
                <w:rFonts w:cs="Arial"/>
                <w:sz w:val="20"/>
              </w:rPr>
            </w:pPr>
          </w:p>
        </w:tc>
      </w:tr>
      <w:tr w:rsidR="007B6876" w:rsidRPr="00FA34B0" w14:paraId="7611FAEC" w14:textId="77777777" w:rsidTr="006969ED">
        <w:tc>
          <w:tcPr>
            <w:tcW w:w="9016" w:type="dxa"/>
            <w:shd w:val="clear" w:color="auto" w:fill="BFBFBF" w:themeFill="background1" w:themeFillShade="BF"/>
          </w:tcPr>
          <w:p w14:paraId="3EA25E8C" w14:textId="6433C41E" w:rsidR="007B6876" w:rsidRPr="006969ED" w:rsidRDefault="007B6876">
            <w:pPr>
              <w:rPr>
                <w:rFonts w:cs="Arial"/>
                <w:b/>
                <w:bCs/>
                <w:sz w:val="20"/>
              </w:rPr>
            </w:pPr>
            <w:r w:rsidRPr="006969ED">
              <w:rPr>
                <w:rFonts w:cs="Arial"/>
                <w:b/>
                <w:bCs/>
                <w:sz w:val="20"/>
              </w:rPr>
              <w:lastRenderedPageBreak/>
              <w:t>9. Significant Event Reporting</w:t>
            </w:r>
          </w:p>
        </w:tc>
      </w:tr>
      <w:tr w:rsidR="007B6876" w:rsidRPr="00FA34B0" w14:paraId="537BF945" w14:textId="77777777" w:rsidTr="001E2E94">
        <w:tc>
          <w:tcPr>
            <w:tcW w:w="9016" w:type="dxa"/>
          </w:tcPr>
          <w:p w14:paraId="2C3E19AF" w14:textId="77777777" w:rsidR="005F5DBD" w:rsidRPr="00531B89" w:rsidRDefault="005F5DBD" w:rsidP="005F5DBD">
            <w:pPr>
              <w:contextualSpacing/>
              <w:rPr>
                <w:rFonts w:cs="Arial"/>
                <w:sz w:val="20"/>
              </w:rPr>
            </w:pPr>
            <w:r w:rsidRPr="00531B89">
              <w:rPr>
                <w:rFonts w:cs="Arial"/>
                <w:sz w:val="20"/>
              </w:rPr>
              <w:t xml:space="preserve">The service provider must have an adverse incident and near miss reporting system in place which includes maintaining a log of patient safety incidents. </w:t>
            </w:r>
          </w:p>
          <w:p w14:paraId="656C294F" w14:textId="77777777" w:rsidR="005F5DBD" w:rsidRPr="00531B89" w:rsidRDefault="005F5DBD" w:rsidP="005F5DBD">
            <w:pPr>
              <w:contextualSpacing/>
              <w:rPr>
                <w:rFonts w:cs="Arial"/>
                <w:sz w:val="20"/>
              </w:rPr>
            </w:pPr>
          </w:p>
          <w:p w14:paraId="0179BAA2" w14:textId="77777777" w:rsidR="005F5DBD" w:rsidRPr="00531B89" w:rsidRDefault="005F5DBD" w:rsidP="005F5DBD">
            <w:pPr>
              <w:contextualSpacing/>
              <w:rPr>
                <w:rFonts w:cs="Arial"/>
                <w:sz w:val="20"/>
              </w:rPr>
            </w:pPr>
            <w:r w:rsidRPr="00531B89">
              <w:rPr>
                <w:rFonts w:cs="Arial"/>
                <w:sz w:val="20"/>
              </w:rPr>
              <w:t>In the case of an adverse incident involving a client who has been supplied with NRT the client's GP must be informed as appropriate.</w:t>
            </w:r>
          </w:p>
          <w:p w14:paraId="35F980CA" w14:textId="77777777" w:rsidR="005F5DBD" w:rsidRPr="00531B89" w:rsidRDefault="005F5DBD" w:rsidP="005F5DBD">
            <w:pPr>
              <w:contextualSpacing/>
              <w:rPr>
                <w:rFonts w:cs="Arial"/>
                <w:sz w:val="20"/>
              </w:rPr>
            </w:pPr>
          </w:p>
          <w:p w14:paraId="3FCE981B" w14:textId="77777777" w:rsidR="005F5DBD" w:rsidRPr="00531B89" w:rsidRDefault="005F5DBD" w:rsidP="005F5DBD">
            <w:pPr>
              <w:contextualSpacing/>
              <w:rPr>
                <w:rFonts w:cs="Arial"/>
                <w:sz w:val="20"/>
              </w:rPr>
            </w:pPr>
            <w:r w:rsidRPr="00531B89">
              <w:rPr>
                <w:rFonts w:cs="Arial"/>
                <w:sz w:val="20"/>
              </w:rPr>
              <w:t>The service provider should be able to demonstrate that it has learnt from an event.</w:t>
            </w:r>
          </w:p>
          <w:p w14:paraId="73AE1720" w14:textId="77777777" w:rsidR="005F5DBD" w:rsidRPr="00531B89" w:rsidRDefault="005F5DBD" w:rsidP="005F5DBD">
            <w:pPr>
              <w:contextualSpacing/>
              <w:rPr>
                <w:rFonts w:cs="Arial"/>
                <w:sz w:val="20"/>
              </w:rPr>
            </w:pPr>
          </w:p>
          <w:p w14:paraId="78BA263A" w14:textId="77777777" w:rsidR="005F5DBD" w:rsidRPr="00531B89" w:rsidRDefault="005F5DBD" w:rsidP="005F5DBD">
            <w:pPr>
              <w:contextualSpacing/>
              <w:rPr>
                <w:rFonts w:cs="Arial"/>
                <w:sz w:val="20"/>
              </w:rPr>
            </w:pPr>
            <w:r w:rsidRPr="00531B89">
              <w:rPr>
                <w:rFonts w:cs="Arial"/>
                <w:sz w:val="20"/>
              </w:rPr>
              <w:t>Halton Borough Council reserves the right to undertake its own root cause analysis if it feels that the root cause is derived from the implementation of the service specification, protocol or PGD.</w:t>
            </w:r>
          </w:p>
          <w:p w14:paraId="185965CD" w14:textId="77777777" w:rsidR="005F5DBD" w:rsidRPr="00531B89" w:rsidRDefault="005F5DBD" w:rsidP="005F5DBD">
            <w:pPr>
              <w:contextualSpacing/>
              <w:rPr>
                <w:rFonts w:cs="Arial"/>
                <w:sz w:val="20"/>
              </w:rPr>
            </w:pPr>
            <w:r w:rsidRPr="00531B89">
              <w:rPr>
                <w:rFonts w:cs="Arial"/>
                <w:sz w:val="20"/>
              </w:rPr>
              <w:t xml:space="preserve"> </w:t>
            </w:r>
          </w:p>
          <w:p w14:paraId="29D64B2B" w14:textId="489387B1" w:rsidR="007B6876" w:rsidRDefault="005F5DBD" w:rsidP="005F5DBD">
            <w:pPr>
              <w:contextualSpacing/>
              <w:rPr>
                <w:rFonts w:cs="Arial"/>
                <w:sz w:val="20"/>
              </w:rPr>
            </w:pPr>
            <w:r w:rsidRPr="00531B89">
              <w:rPr>
                <w:rFonts w:cs="Arial"/>
                <w:sz w:val="20"/>
              </w:rPr>
              <w:t xml:space="preserve">(Patient or staff) safety incidents or near miss incidents related to this service must be reported to </w:t>
            </w:r>
            <w:r w:rsidR="00092626" w:rsidRPr="00092626">
              <w:rPr>
                <w:rFonts w:cs="Arial"/>
                <w:sz w:val="20"/>
                <w:u w:val="single"/>
              </w:rPr>
              <w:t>public.health@halton.gov.uk.</w:t>
            </w:r>
            <w:r w:rsidR="00092626">
              <w:rPr>
                <w:rFonts w:cs="Arial"/>
                <w:sz w:val="20"/>
              </w:rPr>
              <w:t xml:space="preserve"> </w:t>
            </w:r>
          </w:p>
          <w:p w14:paraId="20AACCB5" w14:textId="6297C0FA" w:rsidR="00092626" w:rsidRPr="00FA34B0" w:rsidRDefault="00092626" w:rsidP="005F5DBD">
            <w:pPr>
              <w:contextualSpacing/>
              <w:rPr>
                <w:rFonts w:cs="Arial"/>
                <w:sz w:val="20"/>
              </w:rPr>
            </w:pPr>
          </w:p>
        </w:tc>
      </w:tr>
      <w:tr w:rsidR="007B6876" w:rsidRPr="00FA34B0" w14:paraId="32064DAE" w14:textId="77777777" w:rsidTr="006969ED">
        <w:tc>
          <w:tcPr>
            <w:tcW w:w="9016" w:type="dxa"/>
            <w:shd w:val="clear" w:color="auto" w:fill="BFBFBF" w:themeFill="background1" w:themeFillShade="BF"/>
          </w:tcPr>
          <w:p w14:paraId="5EC47696" w14:textId="161EF137" w:rsidR="007B6876" w:rsidRPr="006969ED" w:rsidRDefault="007B6876">
            <w:pPr>
              <w:rPr>
                <w:rFonts w:cs="Arial"/>
                <w:b/>
                <w:bCs/>
                <w:sz w:val="20"/>
              </w:rPr>
            </w:pPr>
            <w:r w:rsidRPr="006969ED">
              <w:rPr>
                <w:rFonts w:cs="Arial"/>
                <w:b/>
                <w:bCs/>
                <w:sz w:val="20"/>
              </w:rPr>
              <w:t>10. Complaints</w:t>
            </w:r>
          </w:p>
        </w:tc>
      </w:tr>
      <w:tr w:rsidR="007B6876" w:rsidRPr="00FA34B0" w14:paraId="258C9731" w14:textId="77777777" w:rsidTr="001E2E94">
        <w:tc>
          <w:tcPr>
            <w:tcW w:w="9016" w:type="dxa"/>
          </w:tcPr>
          <w:p w14:paraId="1E205FA3" w14:textId="77777777" w:rsidR="00E2556A" w:rsidRDefault="00E2556A" w:rsidP="00E2556A">
            <w:pPr>
              <w:rPr>
                <w:rFonts w:cs="Arial"/>
                <w:sz w:val="20"/>
              </w:rPr>
            </w:pPr>
            <w:r w:rsidRPr="00531B89">
              <w:rPr>
                <w:rFonts w:cs="Arial"/>
                <w:sz w:val="20"/>
              </w:rPr>
              <w:t xml:space="preserve">The service provider must have a complaints procedure that complies with Local Authority Social Services and National Health Service complaints (England) Regulations 2009. </w:t>
            </w:r>
          </w:p>
          <w:p w14:paraId="54FEE5F5" w14:textId="77777777" w:rsidR="00E2556A" w:rsidRPr="00531B89" w:rsidRDefault="00E2556A" w:rsidP="00E2556A">
            <w:pPr>
              <w:rPr>
                <w:rFonts w:cs="Arial"/>
                <w:sz w:val="20"/>
              </w:rPr>
            </w:pPr>
          </w:p>
          <w:p w14:paraId="5B01BEAA" w14:textId="77777777" w:rsidR="00E2556A" w:rsidRDefault="00E2556A" w:rsidP="00E2556A">
            <w:pPr>
              <w:rPr>
                <w:rFonts w:cs="Arial"/>
                <w:sz w:val="20"/>
              </w:rPr>
            </w:pPr>
            <w:r w:rsidRPr="00531B89">
              <w:rPr>
                <w:rFonts w:cs="Arial"/>
                <w:sz w:val="20"/>
              </w:rPr>
              <w:t>The pharmacy should inform clients connected to this service of their right to complain to Halton Borough Council.  Information shall be provided to the client in order for them to access the Council’s complaints procedure.</w:t>
            </w:r>
          </w:p>
          <w:p w14:paraId="179A67E5" w14:textId="77777777" w:rsidR="00E2556A" w:rsidRPr="00531B89" w:rsidRDefault="00E2556A" w:rsidP="00E2556A">
            <w:pPr>
              <w:rPr>
                <w:rFonts w:cs="Arial"/>
                <w:sz w:val="20"/>
              </w:rPr>
            </w:pPr>
          </w:p>
          <w:p w14:paraId="3BA434DB" w14:textId="0CCDE51E" w:rsidR="00E2556A" w:rsidRPr="00FA34B0" w:rsidRDefault="007620F1" w:rsidP="00E2556A">
            <w:pPr>
              <w:rPr>
                <w:rFonts w:cs="Arial"/>
                <w:sz w:val="20"/>
              </w:rPr>
            </w:pPr>
            <w:r w:rsidRPr="00DD4963">
              <w:rPr>
                <w:rFonts w:cs="Arial"/>
                <w:sz w:val="20"/>
              </w:rPr>
              <w:t>Complaints directly linked to this service must be reported to Halton Borough Council</w:t>
            </w:r>
            <w:r>
              <w:rPr>
                <w:rFonts w:cs="Arial"/>
                <w:sz w:val="20"/>
              </w:rPr>
              <w:t xml:space="preserve">. Any complaints must be sent to </w:t>
            </w:r>
            <w:r w:rsidRPr="00522DC4">
              <w:rPr>
                <w:rFonts w:cs="Arial"/>
                <w:sz w:val="20"/>
                <w:u w:val="single"/>
              </w:rPr>
              <w:t>public.health@halton.gov.uk</w:t>
            </w:r>
            <w:r>
              <w:rPr>
                <w:rFonts w:cs="Arial"/>
                <w:sz w:val="20"/>
                <w:u w:val="single"/>
              </w:rPr>
              <w:t>.</w:t>
            </w:r>
            <w:r w:rsidRPr="00522DC4">
              <w:rPr>
                <w:rFonts w:cs="Arial"/>
                <w:sz w:val="20"/>
              </w:rPr>
              <w:t xml:space="preserve"> </w:t>
            </w:r>
            <w:r w:rsidR="00E2556A" w:rsidRPr="00531B89">
              <w:rPr>
                <w:rFonts w:cs="Arial"/>
                <w:sz w:val="20"/>
              </w:rPr>
              <w:t>The Council reserves the right to directly investigate complaints about the service.  In such cases the pharmacy will co-operate with the investigating officer giving full access to all relevant documents, files and information and will allow them to interview any personnel in the pharmacy’s employment or agent in order to carry out their investigation effectiv</w:t>
            </w:r>
            <w:r w:rsidR="00E2556A" w:rsidRPr="007B39D1">
              <w:rPr>
                <w:rFonts w:cs="Arial"/>
                <w:sz w:val="20"/>
              </w:rPr>
              <w:t>ely.</w:t>
            </w:r>
            <w:r w:rsidR="007B39D1" w:rsidRPr="007B39D1">
              <w:rPr>
                <w:rFonts w:cs="Arial"/>
                <w:sz w:val="20"/>
              </w:rPr>
              <w:t xml:space="preserve"> This will be agreed prior to investigation by the pharmacy lead.</w:t>
            </w:r>
          </w:p>
        </w:tc>
      </w:tr>
      <w:tr w:rsidR="007B6876" w:rsidRPr="00FA34B0" w14:paraId="337E1BD2" w14:textId="77777777" w:rsidTr="006969ED">
        <w:tc>
          <w:tcPr>
            <w:tcW w:w="9016" w:type="dxa"/>
            <w:shd w:val="clear" w:color="auto" w:fill="BFBFBF" w:themeFill="background1" w:themeFillShade="BF"/>
          </w:tcPr>
          <w:p w14:paraId="12FDF3C9" w14:textId="00DFBF98" w:rsidR="007B6876" w:rsidRPr="006969ED" w:rsidRDefault="007B6876">
            <w:pPr>
              <w:rPr>
                <w:rFonts w:cs="Arial"/>
                <w:b/>
                <w:bCs/>
                <w:sz w:val="20"/>
              </w:rPr>
            </w:pPr>
            <w:r w:rsidRPr="006969ED">
              <w:rPr>
                <w:rFonts w:cs="Arial"/>
                <w:b/>
                <w:bCs/>
                <w:sz w:val="20"/>
              </w:rPr>
              <w:t>11. Equality and Diversity</w:t>
            </w:r>
          </w:p>
        </w:tc>
      </w:tr>
      <w:tr w:rsidR="007B6876" w:rsidRPr="00FA34B0" w14:paraId="17544B90" w14:textId="77777777" w:rsidTr="001E2E94">
        <w:tc>
          <w:tcPr>
            <w:tcW w:w="9016" w:type="dxa"/>
          </w:tcPr>
          <w:p w14:paraId="4CC9A1FF" w14:textId="77777777" w:rsidR="00792CCE" w:rsidRPr="00531B89" w:rsidRDefault="00792CCE" w:rsidP="00792CCE">
            <w:pPr>
              <w:rPr>
                <w:rFonts w:cs="Arial"/>
                <w:sz w:val="20"/>
              </w:rPr>
            </w:pPr>
            <w:r w:rsidRPr="00531B89">
              <w:rPr>
                <w:rFonts w:cs="Arial"/>
                <w:sz w:val="20"/>
              </w:rPr>
              <w:t>The pharmacy must comply with the requirements of the Equality Act 2010, and will not treat one group of people less favourably than others because of their Age, disability, Gender reassignment,  Marriage and civil partnership, Pregnancy and maternity, Religion and belief, Sex, Sexual orientation.</w:t>
            </w:r>
          </w:p>
          <w:p w14:paraId="448626A3" w14:textId="77777777" w:rsidR="009E0A89" w:rsidRDefault="009E0A89" w:rsidP="00792CCE">
            <w:pPr>
              <w:rPr>
                <w:rFonts w:cs="Arial"/>
                <w:sz w:val="20"/>
              </w:rPr>
            </w:pPr>
          </w:p>
          <w:p w14:paraId="6E589677" w14:textId="50BED88B" w:rsidR="00792CCE" w:rsidRPr="00531B89" w:rsidRDefault="00792CCE" w:rsidP="00792CCE">
            <w:pPr>
              <w:rPr>
                <w:rFonts w:cs="Arial"/>
                <w:sz w:val="20"/>
              </w:rPr>
            </w:pPr>
            <w:r w:rsidRPr="00531B89">
              <w:rPr>
                <w:rFonts w:cs="Arial"/>
                <w:sz w:val="20"/>
              </w:rPr>
              <w:t xml:space="preserve">It is the responsibility of the service provider to make reasonable adjustments to meet the individual needs of their patients.  </w:t>
            </w:r>
          </w:p>
          <w:p w14:paraId="068AD684" w14:textId="77777777" w:rsidR="007B6876" w:rsidRPr="00FA34B0" w:rsidRDefault="007B6876" w:rsidP="007E599D">
            <w:pPr>
              <w:rPr>
                <w:rFonts w:cs="Arial"/>
                <w:sz w:val="20"/>
              </w:rPr>
            </w:pPr>
          </w:p>
        </w:tc>
      </w:tr>
      <w:tr w:rsidR="007B6876" w:rsidRPr="00FA34B0" w14:paraId="13FB7267" w14:textId="77777777" w:rsidTr="006969ED">
        <w:tc>
          <w:tcPr>
            <w:tcW w:w="9016" w:type="dxa"/>
            <w:shd w:val="clear" w:color="auto" w:fill="BFBFBF" w:themeFill="background1" w:themeFillShade="BF"/>
          </w:tcPr>
          <w:p w14:paraId="7CB3ACDC" w14:textId="7F53A84E" w:rsidR="007B6876" w:rsidRPr="006969ED" w:rsidRDefault="007B6876">
            <w:pPr>
              <w:rPr>
                <w:rFonts w:cs="Arial"/>
                <w:b/>
                <w:bCs/>
                <w:sz w:val="20"/>
              </w:rPr>
            </w:pPr>
            <w:r w:rsidRPr="006969ED">
              <w:rPr>
                <w:rFonts w:cs="Arial"/>
                <w:b/>
                <w:bCs/>
                <w:sz w:val="20"/>
              </w:rPr>
              <w:t>12. Health and Safety</w:t>
            </w:r>
          </w:p>
        </w:tc>
      </w:tr>
      <w:tr w:rsidR="007B6876" w:rsidRPr="00FA34B0" w14:paraId="6BD05A9C" w14:textId="77777777" w:rsidTr="001E2E94">
        <w:tc>
          <w:tcPr>
            <w:tcW w:w="9016" w:type="dxa"/>
          </w:tcPr>
          <w:p w14:paraId="7F2E44D2" w14:textId="77777777" w:rsidR="00F25A72" w:rsidRPr="00531B89" w:rsidRDefault="00F25A72" w:rsidP="00F25A72">
            <w:pPr>
              <w:rPr>
                <w:rFonts w:cs="Arial"/>
                <w:sz w:val="20"/>
              </w:rPr>
            </w:pPr>
            <w:r w:rsidRPr="00531B89">
              <w:rPr>
                <w:rFonts w:cs="Arial"/>
                <w:sz w:val="20"/>
              </w:rPr>
              <w:t>The service provider shall comply with the requirements of the Health and Safety at Work Act 1974, the management of health and safety at work regulations 1999 and any other acts, regulation, orders or rules of law pertaining to health and safety.</w:t>
            </w:r>
          </w:p>
          <w:p w14:paraId="5105EFE1" w14:textId="77777777" w:rsidR="007B6876" w:rsidRPr="00FA34B0" w:rsidRDefault="007B6876" w:rsidP="007E599D">
            <w:pPr>
              <w:rPr>
                <w:rFonts w:cs="Arial"/>
                <w:sz w:val="20"/>
              </w:rPr>
            </w:pPr>
          </w:p>
        </w:tc>
      </w:tr>
      <w:tr w:rsidR="007B6876" w:rsidRPr="00FA34B0" w14:paraId="2F44DFA2" w14:textId="77777777" w:rsidTr="006969ED">
        <w:tc>
          <w:tcPr>
            <w:tcW w:w="9016" w:type="dxa"/>
            <w:shd w:val="clear" w:color="auto" w:fill="BFBFBF" w:themeFill="background1" w:themeFillShade="BF"/>
          </w:tcPr>
          <w:p w14:paraId="21BEC97F" w14:textId="30B840C4" w:rsidR="007B6876" w:rsidRPr="006969ED" w:rsidRDefault="007B6876">
            <w:pPr>
              <w:rPr>
                <w:rFonts w:cs="Arial"/>
                <w:b/>
                <w:bCs/>
                <w:sz w:val="20"/>
              </w:rPr>
            </w:pPr>
            <w:r w:rsidRPr="006969ED">
              <w:rPr>
                <w:rFonts w:cs="Arial"/>
                <w:b/>
                <w:bCs/>
                <w:sz w:val="20"/>
              </w:rPr>
              <w:t>13. Freedom of Information</w:t>
            </w:r>
          </w:p>
        </w:tc>
      </w:tr>
      <w:tr w:rsidR="007B6876" w:rsidRPr="00FA34B0" w14:paraId="68862D03" w14:textId="77777777" w:rsidTr="001E2E94">
        <w:tc>
          <w:tcPr>
            <w:tcW w:w="9016" w:type="dxa"/>
          </w:tcPr>
          <w:p w14:paraId="1CC8ACEF" w14:textId="77777777" w:rsidR="007B6876" w:rsidRDefault="00E8234D" w:rsidP="007E599D">
            <w:pPr>
              <w:rPr>
                <w:rFonts w:cs="Arial"/>
                <w:sz w:val="20"/>
              </w:rPr>
            </w:pPr>
            <w:r w:rsidRPr="00531B89">
              <w:rPr>
                <w:rFonts w:cs="Arial"/>
                <w:sz w:val="20"/>
              </w:rPr>
              <w:t xml:space="preserve">The commissioner and the commissioned service provider recognize that this service specification and/or associated recorded information may be subject to Freedom of Information Requests (FOI) Each party shall comply with any such Freedom of Information requests received, in accordance with the Freedom of Information Act 2000 legal obligations.  </w:t>
            </w:r>
          </w:p>
          <w:p w14:paraId="0F206317" w14:textId="58FFC5B3" w:rsidR="00E8234D" w:rsidRPr="00FA34B0" w:rsidRDefault="00E8234D" w:rsidP="007E599D">
            <w:pPr>
              <w:rPr>
                <w:rFonts w:cs="Arial"/>
                <w:sz w:val="20"/>
              </w:rPr>
            </w:pPr>
          </w:p>
        </w:tc>
      </w:tr>
      <w:tr w:rsidR="007B6876" w:rsidRPr="00FA34B0" w14:paraId="2E3A355F" w14:textId="77777777" w:rsidTr="006969ED">
        <w:tc>
          <w:tcPr>
            <w:tcW w:w="9016" w:type="dxa"/>
            <w:shd w:val="clear" w:color="auto" w:fill="BFBFBF" w:themeFill="background1" w:themeFillShade="BF"/>
          </w:tcPr>
          <w:p w14:paraId="01D6F323" w14:textId="65473038" w:rsidR="007B6876" w:rsidRPr="006969ED" w:rsidRDefault="007B6876">
            <w:pPr>
              <w:rPr>
                <w:rFonts w:cs="Arial"/>
                <w:b/>
                <w:bCs/>
                <w:sz w:val="20"/>
              </w:rPr>
            </w:pPr>
            <w:r w:rsidRPr="006969ED">
              <w:rPr>
                <w:rFonts w:cs="Arial"/>
                <w:b/>
                <w:bCs/>
                <w:sz w:val="20"/>
              </w:rPr>
              <w:t>14. Required Insurances</w:t>
            </w:r>
          </w:p>
        </w:tc>
      </w:tr>
      <w:tr w:rsidR="00BA0396" w:rsidRPr="00FA34B0" w14:paraId="751A102F" w14:textId="77777777" w:rsidTr="001E2E94">
        <w:tc>
          <w:tcPr>
            <w:tcW w:w="9016" w:type="dxa"/>
          </w:tcPr>
          <w:p w14:paraId="135003BE" w14:textId="77777777" w:rsidR="00387FBC" w:rsidRDefault="00387FBC" w:rsidP="00387FBC">
            <w:pPr>
              <w:numPr>
                <w:ilvl w:val="0"/>
                <w:numId w:val="20"/>
              </w:numPr>
              <w:suppressAutoHyphens w:val="0"/>
              <w:spacing w:line="276" w:lineRule="auto"/>
              <w:rPr>
                <w:rFonts w:cs="Arial"/>
                <w:sz w:val="20"/>
              </w:rPr>
            </w:pPr>
            <w:r>
              <w:rPr>
                <w:sz w:val="20"/>
              </w:rPr>
              <w:t>Employers Liability - £10m minimum</w:t>
            </w:r>
          </w:p>
          <w:p w14:paraId="7FAC461E" w14:textId="77777777" w:rsidR="00387FBC" w:rsidRDefault="00387FBC" w:rsidP="00387FBC">
            <w:pPr>
              <w:numPr>
                <w:ilvl w:val="0"/>
                <w:numId w:val="20"/>
              </w:numPr>
              <w:suppressAutoHyphens w:val="0"/>
              <w:spacing w:line="276" w:lineRule="auto"/>
              <w:rPr>
                <w:rFonts w:ascii="Calibri" w:hAnsi="Calibri" w:cs="Calibri"/>
                <w:sz w:val="20"/>
                <w14:ligatures w14:val="standardContextual"/>
              </w:rPr>
            </w:pPr>
            <w:r>
              <w:rPr>
                <w:sz w:val="20"/>
              </w:rPr>
              <w:t>Public Liability - £5m minimum</w:t>
            </w:r>
          </w:p>
          <w:p w14:paraId="0F0AF2A6" w14:textId="77777777" w:rsidR="00387FBC" w:rsidRPr="00545643" w:rsidRDefault="00387FBC" w:rsidP="00387FBC">
            <w:pPr>
              <w:pStyle w:val="ListParagraph"/>
              <w:numPr>
                <w:ilvl w:val="0"/>
                <w:numId w:val="20"/>
              </w:numPr>
              <w:suppressAutoHyphens w:val="0"/>
              <w:contextualSpacing w:val="0"/>
              <w:jc w:val="left"/>
              <w:rPr>
                <w:sz w:val="22"/>
                <w:szCs w:val="22"/>
                <w:lang w:eastAsia="en-GB"/>
              </w:rPr>
            </w:pPr>
            <w:r>
              <w:rPr>
                <w:sz w:val="20"/>
              </w:rPr>
              <w:t>Professional Indemnity - £5m minimum</w:t>
            </w:r>
            <w:r>
              <w:rPr>
                <w:lang w:eastAsia="en-GB"/>
              </w:rPr>
              <w:t xml:space="preserve"> </w:t>
            </w:r>
          </w:p>
          <w:p w14:paraId="63D9B0E8" w14:textId="77777777" w:rsidR="00545643" w:rsidRDefault="00545643" w:rsidP="00545643">
            <w:pPr>
              <w:pStyle w:val="ListParagraph"/>
              <w:suppressAutoHyphens w:val="0"/>
              <w:contextualSpacing w:val="0"/>
              <w:jc w:val="left"/>
              <w:rPr>
                <w:sz w:val="22"/>
                <w:szCs w:val="22"/>
                <w:lang w:eastAsia="en-GB"/>
              </w:rPr>
            </w:pPr>
          </w:p>
          <w:p w14:paraId="62FBE8AD" w14:textId="40302D8B" w:rsidR="006A6E04" w:rsidRPr="00FA34B0" w:rsidRDefault="006A6E04" w:rsidP="00552287">
            <w:pPr>
              <w:suppressAutoHyphens w:val="0"/>
              <w:spacing w:after="200" w:line="276" w:lineRule="auto"/>
              <w:contextualSpacing/>
              <w:rPr>
                <w:rFonts w:cs="Arial"/>
                <w:sz w:val="20"/>
              </w:rPr>
            </w:pPr>
          </w:p>
        </w:tc>
      </w:tr>
      <w:tr w:rsidR="007B6876" w:rsidRPr="00FA34B0" w14:paraId="1C8CA53B" w14:textId="77777777" w:rsidTr="006969ED">
        <w:tc>
          <w:tcPr>
            <w:tcW w:w="9016" w:type="dxa"/>
            <w:shd w:val="clear" w:color="auto" w:fill="BFBFBF" w:themeFill="background1" w:themeFillShade="BF"/>
          </w:tcPr>
          <w:p w14:paraId="4563B111" w14:textId="4E1C687C" w:rsidR="007B6876" w:rsidRPr="006969ED" w:rsidRDefault="007B6876">
            <w:pPr>
              <w:rPr>
                <w:rFonts w:cs="Arial"/>
                <w:b/>
                <w:bCs/>
                <w:sz w:val="20"/>
              </w:rPr>
            </w:pPr>
            <w:r w:rsidRPr="006969ED">
              <w:rPr>
                <w:rFonts w:cs="Arial"/>
                <w:b/>
                <w:bCs/>
                <w:sz w:val="20"/>
              </w:rPr>
              <w:lastRenderedPageBreak/>
              <w:t>15. Data Requirements and Record Keeping</w:t>
            </w:r>
          </w:p>
        </w:tc>
      </w:tr>
      <w:tr w:rsidR="007B6876" w:rsidRPr="00FA34B0" w14:paraId="121409E0" w14:textId="77777777" w:rsidTr="001E2E94">
        <w:tc>
          <w:tcPr>
            <w:tcW w:w="9016" w:type="dxa"/>
          </w:tcPr>
          <w:p w14:paraId="30733366" w14:textId="77777777" w:rsidR="00011C15" w:rsidRPr="00531B89" w:rsidRDefault="00011C15" w:rsidP="00011C15">
            <w:pPr>
              <w:contextualSpacing/>
              <w:rPr>
                <w:rFonts w:cs="Arial"/>
                <w:sz w:val="20"/>
              </w:rPr>
            </w:pPr>
            <w:r w:rsidRPr="00531B89">
              <w:rPr>
                <w:rFonts w:cs="Arial"/>
                <w:sz w:val="20"/>
              </w:rPr>
              <w:t>The service provider will be responsible for maintaining records for the period of time required by data protection legislation.</w:t>
            </w:r>
          </w:p>
          <w:p w14:paraId="4E878BB2" w14:textId="77777777" w:rsidR="00011C15" w:rsidRPr="00531B89" w:rsidRDefault="00011C15" w:rsidP="00011C15">
            <w:pPr>
              <w:contextualSpacing/>
              <w:rPr>
                <w:rFonts w:cs="Arial"/>
                <w:sz w:val="20"/>
              </w:rPr>
            </w:pPr>
          </w:p>
          <w:p w14:paraId="41071BFB" w14:textId="2DA3BA8D" w:rsidR="00011C15" w:rsidRDefault="00011C15" w:rsidP="00011C15">
            <w:pPr>
              <w:contextualSpacing/>
              <w:rPr>
                <w:rFonts w:cs="Arial"/>
                <w:sz w:val="20"/>
              </w:rPr>
            </w:pPr>
            <w:r w:rsidRPr="00531B89">
              <w:rPr>
                <w:rFonts w:cs="Arial"/>
                <w:sz w:val="20"/>
              </w:rPr>
              <w:t>Personal data must be protected in accordance with the provisions and principles of the Data Protection Act 2018</w:t>
            </w:r>
            <w:r w:rsidR="003B7DA0">
              <w:rPr>
                <w:rFonts w:cs="Arial"/>
                <w:sz w:val="20"/>
              </w:rPr>
              <w:t>.</w:t>
            </w:r>
          </w:p>
          <w:p w14:paraId="7B6C08CB" w14:textId="77777777" w:rsidR="003B7DA0" w:rsidRPr="00531B89" w:rsidRDefault="003B7DA0" w:rsidP="00011C15">
            <w:pPr>
              <w:contextualSpacing/>
              <w:rPr>
                <w:rFonts w:cs="Arial"/>
                <w:sz w:val="20"/>
              </w:rPr>
            </w:pPr>
          </w:p>
          <w:p w14:paraId="6E2B335B" w14:textId="77777777" w:rsidR="00011C15" w:rsidRPr="00531B89" w:rsidRDefault="00011C15" w:rsidP="00011C15">
            <w:pPr>
              <w:rPr>
                <w:rFonts w:cs="Arial"/>
                <w:sz w:val="20"/>
              </w:rPr>
            </w:pPr>
            <w:r w:rsidRPr="00531B89">
              <w:rPr>
                <w:rFonts w:cs="Arial"/>
                <w:sz w:val="20"/>
              </w:rPr>
              <w:t>The service provider must keep all records for a minimum period of 8 years.  If the person is aged up to 16 records are required to be kept until their 25th birthday or eight years after death in line with NHS health records retention policies.</w:t>
            </w:r>
          </w:p>
          <w:p w14:paraId="0A5E1BF4" w14:textId="77777777" w:rsidR="00011C15" w:rsidRPr="00531B89" w:rsidRDefault="00011C15" w:rsidP="00011C15">
            <w:pPr>
              <w:rPr>
                <w:rFonts w:cs="Arial"/>
                <w:sz w:val="20"/>
              </w:rPr>
            </w:pPr>
          </w:p>
          <w:p w14:paraId="576316B6" w14:textId="77777777" w:rsidR="00011C15" w:rsidRPr="00531B89" w:rsidRDefault="00011C15" w:rsidP="00011C15">
            <w:pPr>
              <w:rPr>
                <w:rFonts w:cs="Arial"/>
                <w:sz w:val="20"/>
              </w:rPr>
            </w:pPr>
            <w:r w:rsidRPr="00531B89">
              <w:rPr>
                <w:rFonts w:cs="Arial"/>
                <w:sz w:val="20"/>
              </w:rPr>
              <w:t>Records for clients who are pregnant or breastfeeding must be kept for 25 years.</w:t>
            </w:r>
          </w:p>
          <w:p w14:paraId="0F6B315E" w14:textId="77777777" w:rsidR="00011C15" w:rsidRPr="00531B89" w:rsidRDefault="00011C15" w:rsidP="00011C15">
            <w:pPr>
              <w:contextualSpacing/>
              <w:rPr>
                <w:rFonts w:cs="Arial"/>
                <w:sz w:val="20"/>
              </w:rPr>
            </w:pPr>
            <w:r w:rsidRPr="00531B89">
              <w:rPr>
                <w:rFonts w:cs="Arial"/>
                <w:sz w:val="20"/>
              </w:rPr>
              <w:t xml:space="preserve">Electronic records must also be kept and available for this period. </w:t>
            </w:r>
          </w:p>
          <w:p w14:paraId="1E51902F" w14:textId="77777777" w:rsidR="00011C15" w:rsidRPr="00531B89" w:rsidRDefault="00011C15" w:rsidP="00011C15">
            <w:pPr>
              <w:contextualSpacing/>
              <w:rPr>
                <w:rFonts w:cs="Arial"/>
                <w:sz w:val="20"/>
              </w:rPr>
            </w:pPr>
          </w:p>
          <w:p w14:paraId="3A1514EB" w14:textId="77777777" w:rsidR="00011C15" w:rsidRPr="00531B89" w:rsidRDefault="00011C15" w:rsidP="00011C15">
            <w:pPr>
              <w:contextualSpacing/>
              <w:rPr>
                <w:rFonts w:cs="Arial"/>
                <w:sz w:val="20"/>
              </w:rPr>
            </w:pPr>
            <w:r w:rsidRPr="00531B89">
              <w:rPr>
                <w:rFonts w:cs="Arial"/>
                <w:sz w:val="20"/>
              </w:rPr>
              <w:t>Records will be kept by the service provider in a secure and confidential manner. Records must be destroyed in a confidential manner.</w:t>
            </w:r>
          </w:p>
          <w:p w14:paraId="55D05DE7" w14:textId="77777777" w:rsidR="00011C15" w:rsidRPr="00531B89" w:rsidRDefault="00011C15" w:rsidP="00011C15">
            <w:pPr>
              <w:ind w:left="644"/>
              <w:contextualSpacing/>
              <w:rPr>
                <w:rFonts w:cs="Arial"/>
                <w:sz w:val="20"/>
              </w:rPr>
            </w:pPr>
          </w:p>
          <w:p w14:paraId="35AF3B4A" w14:textId="77777777" w:rsidR="00011C15" w:rsidRPr="00531B89" w:rsidRDefault="00011C15" w:rsidP="00011C15">
            <w:pPr>
              <w:contextualSpacing/>
              <w:rPr>
                <w:rFonts w:cs="Arial"/>
                <w:sz w:val="20"/>
              </w:rPr>
            </w:pPr>
            <w:r w:rsidRPr="00531B89">
              <w:rPr>
                <w:rFonts w:cs="Arial"/>
                <w:sz w:val="20"/>
              </w:rPr>
              <w:t>The consultation should be recorded in the client’s pharmacy PMR record.</w:t>
            </w:r>
          </w:p>
          <w:p w14:paraId="1E824D97" w14:textId="77777777" w:rsidR="00011C15" w:rsidRPr="00531B89" w:rsidRDefault="00011C15" w:rsidP="00011C15">
            <w:pPr>
              <w:contextualSpacing/>
              <w:rPr>
                <w:rFonts w:cs="Arial"/>
                <w:sz w:val="20"/>
              </w:rPr>
            </w:pPr>
          </w:p>
          <w:p w14:paraId="07E76D2E" w14:textId="77777777" w:rsidR="00011C15" w:rsidRPr="00531B89" w:rsidRDefault="00011C15" w:rsidP="00011C15">
            <w:pPr>
              <w:contextualSpacing/>
              <w:rPr>
                <w:rFonts w:cs="Arial"/>
                <w:sz w:val="20"/>
              </w:rPr>
            </w:pPr>
            <w:r w:rsidRPr="00531B89">
              <w:rPr>
                <w:rFonts w:cs="Arial"/>
                <w:sz w:val="20"/>
              </w:rPr>
              <w:t>Records maintained in association with this service must be made available to Halton BC on request for audit and verification purposes.</w:t>
            </w:r>
          </w:p>
          <w:p w14:paraId="17397396" w14:textId="77777777" w:rsidR="007B6876" w:rsidRPr="00FA34B0" w:rsidRDefault="007B6876" w:rsidP="007E599D">
            <w:pPr>
              <w:contextualSpacing/>
              <w:rPr>
                <w:rFonts w:cs="Arial"/>
                <w:sz w:val="20"/>
              </w:rPr>
            </w:pPr>
          </w:p>
        </w:tc>
      </w:tr>
      <w:tr w:rsidR="007B6876" w:rsidRPr="00FA34B0" w14:paraId="6787B9FF" w14:textId="77777777" w:rsidTr="006969ED">
        <w:tc>
          <w:tcPr>
            <w:tcW w:w="9016" w:type="dxa"/>
            <w:shd w:val="clear" w:color="auto" w:fill="BFBFBF" w:themeFill="background1" w:themeFillShade="BF"/>
          </w:tcPr>
          <w:p w14:paraId="15C5FD01" w14:textId="7B76F972" w:rsidR="007B6876" w:rsidRPr="006969ED" w:rsidRDefault="007B6876">
            <w:pPr>
              <w:rPr>
                <w:rFonts w:cs="Arial"/>
                <w:b/>
                <w:bCs/>
                <w:sz w:val="20"/>
              </w:rPr>
            </w:pPr>
            <w:r w:rsidRPr="006969ED">
              <w:rPr>
                <w:rFonts w:cs="Arial"/>
                <w:b/>
                <w:bCs/>
                <w:sz w:val="20"/>
              </w:rPr>
              <w:t xml:space="preserve">16. </w:t>
            </w:r>
            <w:r w:rsidR="007755F9" w:rsidRPr="006969ED">
              <w:rPr>
                <w:rFonts w:cs="Arial"/>
                <w:b/>
                <w:bCs/>
                <w:sz w:val="20"/>
              </w:rPr>
              <w:t>Performance</w:t>
            </w:r>
            <w:r w:rsidR="002A0390" w:rsidRPr="006969ED">
              <w:rPr>
                <w:rFonts w:cs="Arial"/>
                <w:b/>
                <w:bCs/>
                <w:sz w:val="20"/>
              </w:rPr>
              <w:t xml:space="preserve"> Monitoring</w:t>
            </w:r>
          </w:p>
        </w:tc>
      </w:tr>
      <w:tr w:rsidR="007B6876" w:rsidRPr="00FA34B0" w14:paraId="6737E841" w14:textId="77777777" w:rsidTr="001E2E94">
        <w:tc>
          <w:tcPr>
            <w:tcW w:w="9016" w:type="dxa"/>
          </w:tcPr>
          <w:p w14:paraId="5FC8260B" w14:textId="77777777" w:rsidR="001675B9" w:rsidRPr="00531B89" w:rsidRDefault="001675B9" w:rsidP="001675B9">
            <w:pPr>
              <w:contextualSpacing/>
              <w:rPr>
                <w:rFonts w:cs="Arial"/>
                <w:sz w:val="20"/>
              </w:rPr>
            </w:pPr>
            <w:r w:rsidRPr="00531B89">
              <w:rPr>
                <w:rFonts w:cs="Arial"/>
                <w:sz w:val="20"/>
              </w:rPr>
              <w:t>The service provider will have an NHS dispensing contract with NHS England and must fully comply with the National Pharmacy Contract regulations.</w:t>
            </w:r>
          </w:p>
          <w:p w14:paraId="1C686657" w14:textId="77777777" w:rsidR="001675B9" w:rsidRPr="00531B89" w:rsidRDefault="001675B9" w:rsidP="001675B9">
            <w:pPr>
              <w:contextualSpacing/>
              <w:rPr>
                <w:rFonts w:cs="Arial"/>
                <w:sz w:val="20"/>
              </w:rPr>
            </w:pPr>
          </w:p>
          <w:p w14:paraId="6C2AD21F" w14:textId="212A79A2" w:rsidR="001675B9" w:rsidRPr="00531B89" w:rsidRDefault="001675B9" w:rsidP="001675B9">
            <w:pPr>
              <w:contextualSpacing/>
              <w:rPr>
                <w:rFonts w:cs="Arial"/>
                <w:sz w:val="20"/>
              </w:rPr>
            </w:pPr>
            <w:r w:rsidRPr="00531B89">
              <w:rPr>
                <w:rFonts w:cs="Arial"/>
                <w:sz w:val="20"/>
              </w:rPr>
              <w:t>Halton Borough Council retains the right to audit any part of the service provided by the service provider or the accredited pharmacist at any time to ensure continued quality within the confines of prevailing data protection legislation.</w:t>
            </w:r>
            <w:r w:rsidR="00DC7031">
              <w:rPr>
                <w:rFonts w:cs="Arial"/>
                <w:sz w:val="20"/>
              </w:rPr>
              <w:t xml:space="preserve"> </w:t>
            </w:r>
            <w:r w:rsidR="00540DCB">
              <w:rPr>
                <w:rFonts w:cs="Arial"/>
                <w:sz w:val="20"/>
              </w:rPr>
              <w:t xml:space="preserve">Halton </w:t>
            </w:r>
            <w:r w:rsidR="00261096">
              <w:rPr>
                <w:rFonts w:cs="Arial"/>
                <w:sz w:val="20"/>
              </w:rPr>
              <w:t xml:space="preserve">Borough Council </w:t>
            </w:r>
            <w:r w:rsidR="00A42C57">
              <w:rPr>
                <w:rFonts w:cs="Arial"/>
                <w:sz w:val="20"/>
              </w:rPr>
              <w:t xml:space="preserve">will </w:t>
            </w:r>
            <w:r w:rsidR="009745E5">
              <w:rPr>
                <w:rFonts w:cs="Arial"/>
                <w:sz w:val="20"/>
              </w:rPr>
              <w:t xml:space="preserve">provide </w:t>
            </w:r>
            <w:r w:rsidR="00FC1847">
              <w:rPr>
                <w:rFonts w:cs="Arial"/>
                <w:sz w:val="20"/>
              </w:rPr>
              <w:t>written notice</w:t>
            </w:r>
            <w:r w:rsidR="004C2403">
              <w:rPr>
                <w:rFonts w:cs="Arial"/>
                <w:sz w:val="20"/>
              </w:rPr>
              <w:t xml:space="preserve"> in advance of an</w:t>
            </w:r>
            <w:r w:rsidR="00F97F4E">
              <w:rPr>
                <w:rFonts w:cs="Arial"/>
                <w:sz w:val="20"/>
              </w:rPr>
              <w:t xml:space="preserve"> audit taking place. </w:t>
            </w:r>
          </w:p>
          <w:p w14:paraId="41CBEA25" w14:textId="77777777" w:rsidR="001675B9" w:rsidRPr="00531B89" w:rsidRDefault="001675B9" w:rsidP="001675B9">
            <w:pPr>
              <w:contextualSpacing/>
              <w:rPr>
                <w:rFonts w:cs="Arial"/>
                <w:sz w:val="20"/>
              </w:rPr>
            </w:pPr>
          </w:p>
          <w:p w14:paraId="180D7734" w14:textId="77777777" w:rsidR="007B6876" w:rsidRDefault="001675B9" w:rsidP="001675B9">
            <w:pPr>
              <w:contextualSpacing/>
              <w:rPr>
                <w:rFonts w:cs="Arial"/>
                <w:sz w:val="20"/>
              </w:rPr>
            </w:pPr>
            <w:r w:rsidRPr="00531B89">
              <w:rPr>
                <w:rFonts w:cs="Arial"/>
                <w:sz w:val="20"/>
              </w:rPr>
              <w:t>Halton Borough Council reserves the right to ask for evidence from the service provider that it is following the procedures outlined in this specification</w:t>
            </w:r>
            <w:r w:rsidR="00DA75C7">
              <w:rPr>
                <w:rFonts w:cs="Arial"/>
                <w:sz w:val="20"/>
              </w:rPr>
              <w:t>.</w:t>
            </w:r>
          </w:p>
          <w:p w14:paraId="1B2F1FFC" w14:textId="77777777" w:rsidR="00F4762D" w:rsidRDefault="00F4762D" w:rsidP="001675B9">
            <w:pPr>
              <w:contextualSpacing/>
              <w:rPr>
                <w:rFonts w:cs="Arial"/>
                <w:sz w:val="20"/>
              </w:rPr>
            </w:pPr>
          </w:p>
          <w:p w14:paraId="79EABB4B" w14:textId="77777777" w:rsidR="00F4762D" w:rsidRPr="00531B89" w:rsidRDefault="00F4762D" w:rsidP="00F4762D">
            <w:pPr>
              <w:contextualSpacing/>
              <w:rPr>
                <w:rFonts w:cs="Arial"/>
                <w:sz w:val="20"/>
              </w:rPr>
            </w:pPr>
            <w:r w:rsidRPr="00531B89">
              <w:rPr>
                <w:rFonts w:cs="Arial"/>
                <w:sz w:val="20"/>
              </w:rPr>
              <w:t>The service provider will co-operate with any Halton Borough Council led assessment of service user experience or audit of the service in order to evaluate service provision and identify areas for service improvement.</w:t>
            </w:r>
          </w:p>
          <w:p w14:paraId="3D2027A7" w14:textId="77777777" w:rsidR="00F4762D" w:rsidRPr="00531B89" w:rsidRDefault="00F4762D" w:rsidP="00F4762D">
            <w:pPr>
              <w:contextualSpacing/>
              <w:rPr>
                <w:rFonts w:cs="Arial"/>
                <w:sz w:val="20"/>
              </w:rPr>
            </w:pPr>
          </w:p>
          <w:p w14:paraId="159E11CE" w14:textId="77777777" w:rsidR="00F4762D" w:rsidRPr="00531B89" w:rsidRDefault="00F4762D" w:rsidP="00F4762D">
            <w:pPr>
              <w:contextualSpacing/>
              <w:rPr>
                <w:rFonts w:cs="Arial"/>
                <w:sz w:val="20"/>
              </w:rPr>
            </w:pPr>
            <w:r w:rsidRPr="00531B89">
              <w:rPr>
                <w:rFonts w:cs="Arial"/>
                <w:sz w:val="20"/>
              </w:rPr>
              <w:t xml:space="preserve">Halton Borough Council reserves the right to seek feedback from other health professionals’ on their perceptions of the overall quality of the service. </w:t>
            </w:r>
          </w:p>
          <w:p w14:paraId="6C1DC108" w14:textId="77777777" w:rsidR="00F4762D" w:rsidRPr="00531B89" w:rsidRDefault="00F4762D" w:rsidP="00F4762D">
            <w:pPr>
              <w:contextualSpacing/>
              <w:rPr>
                <w:rFonts w:cs="Arial"/>
                <w:sz w:val="20"/>
              </w:rPr>
            </w:pPr>
          </w:p>
          <w:p w14:paraId="7D8E3937" w14:textId="07F82F76" w:rsidR="00F4762D" w:rsidRDefault="00F4762D" w:rsidP="00F4762D">
            <w:pPr>
              <w:contextualSpacing/>
              <w:rPr>
                <w:rFonts w:cs="Arial"/>
                <w:sz w:val="20"/>
              </w:rPr>
            </w:pPr>
            <w:r w:rsidRPr="004050A9">
              <w:rPr>
                <w:rFonts w:cs="Arial"/>
                <w:sz w:val="20"/>
              </w:rPr>
              <w:t>Changes to the level or quality of the service will not be introduced without prior agreement with Halton Borough Council</w:t>
            </w:r>
            <w:r w:rsidR="006F4042" w:rsidRPr="004050A9">
              <w:rPr>
                <w:rFonts w:cs="Arial"/>
                <w:sz w:val="20"/>
              </w:rPr>
              <w:t xml:space="preserve"> and </w:t>
            </w:r>
            <w:r w:rsidR="009C2896" w:rsidRPr="004050A9">
              <w:rPr>
                <w:rFonts w:cs="Arial"/>
                <w:sz w:val="20"/>
              </w:rPr>
              <w:t>the service provider.</w:t>
            </w:r>
            <w:r w:rsidRPr="004050A9">
              <w:rPr>
                <w:rFonts w:cs="Arial"/>
                <w:sz w:val="20"/>
              </w:rPr>
              <w:t xml:space="preserve"> Changes will be authorised in writin</w:t>
            </w:r>
            <w:r w:rsidRPr="00A77D6F">
              <w:rPr>
                <w:rFonts w:cs="Arial"/>
                <w:sz w:val="20"/>
              </w:rPr>
              <w:t>g.</w:t>
            </w:r>
            <w:r w:rsidR="00725842">
              <w:rPr>
                <w:rFonts w:cs="Arial"/>
                <w:sz w:val="20"/>
              </w:rPr>
              <w:t xml:space="preserve"> </w:t>
            </w:r>
          </w:p>
          <w:p w14:paraId="7D0FEE5A" w14:textId="7A30DAF4" w:rsidR="00F4762D" w:rsidRPr="00FA34B0" w:rsidRDefault="00F4762D" w:rsidP="00F4762D">
            <w:pPr>
              <w:contextualSpacing/>
              <w:rPr>
                <w:rFonts w:cs="Arial"/>
                <w:sz w:val="20"/>
              </w:rPr>
            </w:pPr>
          </w:p>
        </w:tc>
      </w:tr>
      <w:tr w:rsidR="007755F9" w:rsidRPr="00FA34B0" w14:paraId="23A60F79" w14:textId="77777777" w:rsidTr="006969ED">
        <w:tc>
          <w:tcPr>
            <w:tcW w:w="9016" w:type="dxa"/>
            <w:shd w:val="clear" w:color="auto" w:fill="BFBFBF" w:themeFill="background1" w:themeFillShade="BF"/>
          </w:tcPr>
          <w:p w14:paraId="25DCD362" w14:textId="231A22FF" w:rsidR="007755F9" w:rsidRPr="006969ED" w:rsidRDefault="007755F9">
            <w:pPr>
              <w:rPr>
                <w:rFonts w:cs="Arial"/>
                <w:b/>
                <w:bCs/>
                <w:sz w:val="20"/>
              </w:rPr>
            </w:pPr>
            <w:r w:rsidRPr="006969ED">
              <w:rPr>
                <w:rFonts w:cs="Arial"/>
                <w:b/>
                <w:bCs/>
                <w:sz w:val="20"/>
              </w:rPr>
              <w:t>17. Fees for Providing the Service</w:t>
            </w:r>
          </w:p>
        </w:tc>
      </w:tr>
      <w:tr w:rsidR="007755F9" w:rsidRPr="00FA34B0" w14:paraId="0548AED1" w14:textId="77777777" w:rsidTr="001E2E94">
        <w:tc>
          <w:tcPr>
            <w:tcW w:w="9016" w:type="dxa"/>
          </w:tcPr>
          <w:p w14:paraId="6D6B0AB7" w14:textId="77777777" w:rsidR="007755F9" w:rsidRPr="00CE4201" w:rsidRDefault="007755F9">
            <w:pPr>
              <w:rPr>
                <w:rFonts w:cs="Arial"/>
                <w:b/>
                <w:bCs/>
                <w:sz w:val="20"/>
              </w:rPr>
            </w:pPr>
            <w:r w:rsidRPr="00CE4201">
              <w:rPr>
                <w:rFonts w:cs="Arial"/>
                <w:b/>
                <w:bCs/>
                <w:sz w:val="20"/>
              </w:rPr>
              <w:t>17.1 Fees</w:t>
            </w:r>
          </w:p>
          <w:p w14:paraId="1108A4FF" w14:textId="23B83D23" w:rsidR="00A204DA" w:rsidRDefault="00A204DA" w:rsidP="00A204DA">
            <w:pPr>
              <w:contextualSpacing/>
              <w:rPr>
                <w:rFonts w:cs="Arial"/>
                <w:sz w:val="20"/>
              </w:rPr>
            </w:pPr>
            <w:r w:rsidRPr="00531B89">
              <w:rPr>
                <w:rFonts w:cs="Arial"/>
                <w:sz w:val="20"/>
              </w:rPr>
              <w:t>Reimbursement will be made for each voucher in accordance with the detail set out in the protocol.</w:t>
            </w:r>
          </w:p>
          <w:p w14:paraId="2662B505" w14:textId="77777777" w:rsidR="00A204DA" w:rsidRPr="00531B89" w:rsidRDefault="00A204DA" w:rsidP="00A204DA">
            <w:pPr>
              <w:contextualSpacing/>
              <w:rPr>
                <w:rFonts w:cs="Arial"/>
                <w:sz w:val="20"/>
              </w:rPr>
            </w:pPr>
          </w:p>
          <w:p w14:paraId="13AE76EC" w14:textId="77777777" w:rsidR="00A204DA" w:rsidRPr="00531B89" w:rsidRDefault="00A204DA" w:rsidP="00A204DA">
            <w:pPr>
              <w:pStyle w:val="ListParagraph"/>
              <w:numPr>
                <w:ilvl w:val="0"/>
                <w:numId w:val="19"/>
              </w:numPr>
              <w:suppressAutoHyphens w:val="0"/>
              <w:spacing w:after="200" w:line="276" w:lineRule="auto"/>
              <w:jc w:val="left"/>
              <w:rPr>
                <w:rFonts w:cs="Arial"/>
                <w:sz w:val="20"/>
              </w:rPr>
            </w:pPr>
            <w:r w:rsidRPr="00531B89">
              <w:rPr>
                <w:rFonts w:cs="Arial"/>
                <w:sz w:val="20"/>
              </w:rPr>
              <w:t>Cost price including VAT (5%)</w:t>
            </w:r>
          </w:p>
          <w:p w14:paraId="2714FCA0" w14:textId="798C22B5" w:rsidR="00A204DA" w:rsidRPr="00531B89" w:rsidRDefault="00A204DA" w:rsidP="00A204DA">
            <w:pPr>
              <w:pStyle w:val="ListParagraph"/>
              <w:numPr>
                <w:ilvl w:val="0"/>
                <w:numId w:val="19"/>
              </w:numPr>
              <w:suppressAutoHyphens w:val="0"/>
              <w:spacing w:after="200" w:line="276" w:lineRule="auto"/>
              <w:jc w:val="left"/>
              <w:rPr>
                <w:rFonts w:cs="Arial"/>
                <w:sz w:val="20"/>
              </w:rPr>
            </w:pPr>
            <w:r w:rsidRPr="00531B89">
              <w:rPr>
                <w:rFonts w:cs="Arial"/>
                <w:sz w:val="20"/>
              </w:rPr>
              <w:t>A dispensing fee of £</w:t>
            </w:r>
            <w:r w:rsidR="0019721B">
              <w:rPr>
                <w:rFonts w:cs="Arial"/>
                <w:sz w:val="20"/>
              </w:rPr>
              <w:t>4</w:t>
            </w:r>
            <w:r w:rsidRPr="00531B89">
              <w:rPr>
                <w:rFonts w:cs="Arial"/>
                <w:sz w:val="20"/>
              </w:rPr>
              <w:t>.00 for each voucher.</w:t>
            </w:r>
          </w:p>
          <w:p w14:paraId="6B2C4523" w14:textId="0A3BDA0B" w:rsidR="00A204DA" w:rsidRDefault="00A204DA" w:rsidP="00A204DA">
            <w:pPr>
              <w:contextualSpacing/>
              <w:rPr>
                <w:rFonts w:cs="Arial"/>
                <w:sz w:val="20"/>
              </w:rPr>
            </w:pPr>
            <w:r w:rsidRPr="00531B89">
              <w:rPr>
                <w:rFonts w:cs="Arial"/>
                <w:sz w:val="20"/>
              </w:rPr>
              <w:t xml:space="preserve">Completed vouchers must remain on </w:t>
            </w:r>
            <w:r w:rsidR="007528C8">
              <w:rPr>
                <w:rFonts w:cs="Arial"/>
                <w:sz w:val="20"/>
              </w:rPr>
              <w:t>PharmOutcomes</w:t>
            </w:r>
            <w:r w:rsidRPr="00531B89">
              <w:rPr>
                <w:rFonts w:cs="Arial"/>
                <w:sz w:val="20"/>
              </w:rPr>
              <w:t xml:space="preserve"> for verification and payment. Claims received after the 10th of the month for the previous month’s activity will not be reimbursed until the following month.</w:t>
            </w:r>
          </w:p>
          <w:p w14:paraId="0C990B9C" w14:textId="77777777" w:rsidR="008C639A" w:rsidRDefault="008C639A" w:rsidP="00A204DA">
            <w:pPr>
              <w:contextualSpacing/>
              <w:rPr>
                <w:rFonts w:cs="Arial"/>
                <w:sz w:val="20"/>
              </w:rPr>
            </w:pPr>
          </w:p>
          <w:p w14:paraId="45B0AE31" w14:textId="77777777" w:rsidR="008C639A" w:rsidRDefault="008C639A" w:rsidP="008C639A">
            <w:pPr>
              <w:contextualSpacing/>
              <w:rPr>
                <w:rFonts w:cs="Arial"/>
                <w:sz w:val="20"/>
              </w:rPr>
            </w:pPr>
            <w:r w:rsidRPr="00531B89">
              <w:rPr>
                <w:rFonts w:cs="Arial"/>
                <w:sz w:val="20"/>
              </w:rPr>
              <w:t>It is the responsibility of the service provider to ensure that the appropriate VAT returns are made.</w:t>
            </w:r>
          </w:p>
          <w:p w14:paraId="26C3DB44" w14:textId="77777777" w:rsidR="00426C08" w:rsidRDefault="00426C08" w:rsidP="008C639A">
            <w:pPr>
              <w:contextualSpacing/>
              <w:rPr>
                <w:rFonts w:cs="Arial"/>
                <w:sz w:val="20"/>
              </w:rPr>
            </w:pPr>
          </w:p>
          <w:p w14:paraId="493BF4A5" w14:textId="77777777" w:rsidR="00426C08" w:rsidRDefault="00426C08" w:rsidP="008C639A">
            <w:pPr>
              <w:contextualSpacing/>
              <w:rPr>
                <w:rFonts w:cs="Arial"/>
                <w:sz w:val="20"/>
              </w:rPr>
            </w:pPr>
          </w:p>
          <w:p w14:paraId="5BB71B5E" w14:textId="77777777" w:rsidR="00426C08" w:rsidRPr="00531B89" w:rsidRDefault="00426C08" w:rsidP="008C639A">
            <w:pPr>
              <w:contextualSpacing/>
              <w:rPr>
                <w:rFonts w:cs="Arial"/>
                <w:sz w:val="20"/>
              </w:rPr>
            </w:pPr>
          </w:p>
          <w:p w14:paraId="5A826CFA" w14:textId="77777777" w:rsidR="007755F9" w:rsidRPr="00FA34B0" w:rsidRDefault="007755F9">
            <w:pPr>
              <w:rPr>
                <w:rFonts w:cs="Arial"/>
                <w:sz w:val="20"/>
              </w:rPr>
            </w:pPr>
          </w:p>
          <w:p w14:paraId="345E1533" w14:textId="77777777" w:rsidR="007755F9" w:rsidRPr="00CE4201" w:rsidRDefault="007755F9">
            <w:pPr>
              <w:rPr>
                <w:rFonts w:cs="Arial"/>
                <w:b/>
                <w:bCs/>
                <w:sz w:val="20"/>
              </w:rPr>
            </w:pPr>
            <w:r w:rsidRPr="00CE4201">
              <w:rPr>
                <w:rFonts w:cs="Arial"/>
                <w:b/>
                <w:bCs/>
                <w:sz w:val="20"/>
              </w:rPr>
              <w:lastRenderedPageBreak/>
              <w:t>17.1.2 Payment arrangements</w:t>
            </w:r>
          </w:p>
          <w:p w14:paraId="709FC08C" w14:textId="33A1E576" w:rsidR="006307E4" w:rsidRPr="00531B89" w:rsidRDefault="006307E4" w:rsidP="006307E4">
            <w:pPr>
              <w:autoSpaceDE w:val="0"/>
              <w:autoSpaceDN w:val="0"/>
              <w:adjustRightInd w:val="0"/>
              <w:rPr>
                <w:rFonts w:cs="Arial"/>
                <w:sz w:val="20"/>
              </w:rPr>
            </w:pPr>
            <w:r w:rsidRPr="00531B89">
              <w:rPr>
                <w:rFonts w:cs="Arial"/>
                <w:sz w:val="20"/>
                <w:lang w:val="en-US"/>
              </w:rPr>
              <w:t>In all cases payment will be made monthly in arrears from the</w:t>
            </w:r>
            <w:r>
              <w:rPr>
                <w:rFonts w:cs="Arial"/>
                <w:sz w:val="20"/>
                <w:lang w:val="en-US"/>
              </w:rPr>
              <w:t xml:space="preserve"> data you will have entered on </w:t>
            </w:r>
            <w:r w:rsidR="007528C8">
              <w:rPr>
                <w:rFonts w:cs="Arial"/>
                <w:sz w:val="20"/>
                <w:lang w:val="en-US"/>
              </w:rPr>
              <w:t>PharmOutcomes</w:t>
            </w:r>
            <w:r w:rsidRPr="00531B89">
              <w:rPr>
                <w:rFonts w:cs="Arial"/>
                <w:sz w:val="20"/>
                <w:lang w:val="en-US"/>
              </w:rPr>
              <w:t xml:space="preserve">. </w:t>
            </w:r>
            <w:r w:rsidR="007528C8">
              <w:rPr>
                <w:rFonts w:cs="Arial"/>
                <w:sz w:val="20"/>
                <w:lang w:val="en-US"/>
              </w:rPr>
              <w:t>PharmOutcomes</w:t>
            </w:r>
            <w:r w:rsidRPr="00531B89">
              <w:rPr>
                <w:rFonts w:cs="Arial"/>
                <w:sz w:val="20"/>
                <w:lang w:val="en-US"/>
              </w:rPr>
              <w:t xml:space="preserve"> is an online reporting mechanism. All claims are subject to the validation of data input and authorization from a certifying officer.  </w:t>
            </w:r>
          </w:p>
          <w:p w14:paraId="043B43AC" w14:textId="77777777" w:rsidR="006307E4" w:rsidRPr="00FA34B0" w:rsidRDefault="006307E4">
            <w:pPr>
              <w:rPr>
                <w:rFonts w:cs="Arial"/>
                <w:sz w:val="20"/>
              </w:rPr>
            </w:pPr>
          </w:p>
          <w:p w14:paraId="7F101E28" w14:textId="77777777" w:rsidR="007755F9" w:rsidRDefault="007755F9">
            <w:pPr>
              <w:rPr>
                <w:rFonts w:cs="Arial"/>
                <w:b/>
                <w:bCs/>
                <w:sz w:val="20"/>
              </w:rPr>
            </w:pPr>
            <w:r w:rsidRPr="00CE4201">
              <w:rPr>
                <w:rFonts w:cs="Arial"/>
                <w:b/>
                <w:bCs/>
                <w:sz w:val="20"/>
              </w:rPr>
              <w:t>17.1.3 Terms of payment</w:t>
            </w:r>
          </w:p>
          <w:p w14:paraId="2861F149" w14:textId="77777777" w:rsidR="00335BE4" w:rsidRPr="00531B89" w:rsidRDefault="00335BE4" w:rsidP="00335BE4">
            <w:pPr>
              <w:autoSpaceDE w:val="0"/>
              <w:autoSpaceDN w:val="0"/>
              <w:adjustRightInd w:val="0"/>
              <w:rPr>
                <w:rFonts w:cs="Arial"/>
                <w:sz w:val="20"/>
                <w:lang w:val="en-US"/>
              </w:rPr>
            </w:pPr>
            <w:r w:rsidRPr="00531B89">
              <w:rPr>
                <w:rFonts w:cs="Arial"/>
                <w:sz w:val="20"/>
                <w:lang w:val="en-US"/>
              </w:rPr>
              <w:t xml:space="preserve">The only sums payable to the Provider for the provision of the Services shall be the Contract Price. All other costs, charges, fees and expenses of whatever kind arising out of or in connection with the Agreement shall be the responsibility of the Provider. </w:t>
            </w:r>
          </w:p>
          <w:p w14:paraId="33314C4B" w14:textId="20C933E4" w:rsidR="00335BE4" w:rsidRPr="00335BE4" w:rsidRDefault="00335BE4">
            <w:pPr>
              <w:rPr>
                <w:rFonts w:cs="Arial"/>
                <w:b/>
                <w:bCs/>
                <w:sz w:val="20"/>
                <w:lang w:val="en-US"/>
              </w:rPr>
            </w:pPr>
          </w:p>
        </w:tc>
      </w:tr>
    </w:tbl>
    <w:p w14:paraId="59C35A56" w14:textId="77777777" w:rsidR="001E2E94" w:rsidRPr="00FA34B0" w:rsidRDefault="001E2E94">
      <w:pPr>
        <w:rPr>
          <w:rFonts w:cs="Arial"/>
          <w:sz w:val="20"/>
        </w:rPr>
      </w:pPr>
    </w:p>
    <w:sectPr w:rsidR="001E2E94" w:rsidRPr="00FA3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C5E"/>
    <w:multiLevelType w:val="hybridMultilevel"/>
    <w:tmpl w:val="8B887E30"/>
    <w:lvl w:ilvl="0" w:tplc="08090001">
      <w:start w:val="1"/>
      <w:numFmt w:val="bullet"/>
      <w:lvlText w:val=""/>
      <w:lvlJc w:val="left"/>
      <w:pPr>
        <w:ind w:left="918" w:hanging="360"/>
      </w:pPr>
      <w:rPr>
        <w:rFonts w:ascii="Symbol" w:hAnsi="Symbol" w:hint="default"/>
      </w:rPr>
    </w:lvl>
    <w:lvl w:ilvl="1" w:tplc="08090003">
      <w:start w:val="1"/>
      <w:numFmt w:val="bullet"/>
      <w:lvlText w:val="o"/>
      <w:lvlJc w:val="left"/>
      <w:pPr>
        <w:ind w:left="1638" w:hanging="360"/>
      </w:pPr>
      <w:rPr>
        <w:rFonts w:ascii="Courier New" w:hAnsi="Courier New" w:cs="Courier New" w:hint="default"/>
      </w:rPr>
    </w:lvl>
    <w:lvl w:ilvl="2" w:tplc="08090005">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 w15:restartNumberingAfterBreak="0">
    <w:nsid w:val="1E6422E5"/>
    <w:multiLevelType w:val="hybridMultilevel"/>
    <w:tmpl w:val="D65E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 w15:restartNumberingAfterBreak="0">
    <w:nsid w:val="2942746A"/>
    <w:multiLevelType w:val="hybridMultilevel"/>
    <w:tmpl w:val="18388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5249F8"/>
    <w:multiLevelType w:val="hybridMultilevel"/>
    <w:tmpl w:val="CDB67B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442D5A"/>
    <w:multiLevelType w:val="hybridMultilevel"/>
    <w:tmpl w:val="01B85F8A"/>
    <w:lvl w:ilvl="0" w:tplc="08090001">
      <w:start w:val="1"/>
      <w:numFmt w:val="bullet"/>
      <w:lvlText w:val=""/>
      <w:lvlJc w:val="left"/>
      <w:pPr>
        <w:ind w:left="720" w:hanging="360"/>
      </w:pPr>
      <w:rPr>
        <w:rFonts w:ascii="Symbol" w:hAnsi="Symbol" w:hint="default"/>
      </w:rPr>
    </w:lvl>
    <w:lvl w:ilvl="1" w:tplc="9A9AB28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407BF"/>
    <w:multiLevelType w:val="hybridMultilevel"/>
    <w:tmpl w:val="91BA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47892"/>
    <w:multiLevelType w:val="hybridMultilevel"/>
    <w:tmpl w:val="A3F0B3F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 w15:restartNumberingAfterBreak="0">
    <w:nsid w:val="46072BE2"/>
    <w:multiLevelType w:val="multilevel"/>
    <w:tmpl w:val="892496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35DF8"/>
    <w:multiLevelType w:val="hybridMultilevel"/>
    <w:tmpl w:val="9286B7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673F60"/>
    <w:multiLevelType w:val="hybridMultilevel"/>
    <w:tmpl w:val="2F5C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FA5346"/>
    <w:multiLevelType w:val="hybridMultilevel"/>
    <w:tmpl w:val="DBEED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197695"/>
    <w:multiLevelType w:val="hybridMultilevel"/>
    <w:tmpl w:val="1F42A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84190C"/>
    <w:multiLevelType w:val="hybridMultilevel"/>
    <w:tmpl w:val="81ECAE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56C5E38"/>
    <w:multiLevelType w:val="hybridMultilevel"/>
    <w:tmpl w:val="FD98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F50D7"/>
    <w:multiLevelType w:val="hybridMultilevel"/>
    <w:tmpl w:val="9626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468ED"/>
    <w:multiLevelType w:val="hybridMultilevel"/>
    <w:tmpl w:val="41F251EC"/>
    <w:lvl w:ilvl="0" w:tplc="08090001">
      <w:start w:val="1"/>
      <w:numFmt w:val="bullet"/>
      <w:lvlText w:val=""/>
      <w:lvlJc w:val="left"/>
      <w:pPr>
        <w:ind w:left="720" w:hanging="360"/>
      </w:pPr>
      <w:rPr>
        <w:rFonts w:ascii="Symbol" w:hAnsi="Symbol" w:hint="default"/>
      </w:rPr>
    </w:lvl>
    <w:lvl w:ilvl="1" w:tplc="485AF1A0">
      <w:start w:val="6"/>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442A0"/>
    <w:multiLevelType w:val="hybridMultilevel"/>
    <w:tmpl w:val="2A4A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B103F"/>
    <w:multiLevelType w:val="multilevel"/>
    <w:tmpl w:val="E5DCAE0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C164A94"/>
    <w:multiLevelType w:val="hybridMultilevel"/>
    <w:tmpl w:val="27763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8622D6"/>
    <w:multiLevelType w:val="hybridMultilevel"/>
    <w:tmpl w:val="1B16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151758">
    <w:abstractNumId w:val="17"/>
  </w:num>
  <w:num w:numId="2" w16cid:durableId="1325082472">
    <w:abstractNumId w:val="0"/>
  </w:num>
  <w:num w:numId="3" w16cid:durableId="494490995">
    <w:abstractNumId w:val="5"/>
  </w:num>
  <w:num w:numId="4" w16cid:durableId="2113281208">
    <w:abstractNumId w:val="10"/>
  </w:num>
  <w:num w:numId="5" w16cid:durableId="1452700397">
    <w:abstractNumId w:val="16"/>
  </w:num>
  <w:num w:numId="6" w16cid:durableId="1959947131">
    <w:abstractNumId w:val="4"/>
  </w:num>
  <w:num w:numId="7" w16cid:durableId="930623317">
    <w:abstractNumId w:val="9"/>
  </w:num>
  <w:num w:numId="8" w16cid:durableId="1280457750">
    <w:abstractNumId w:val="3"/>
  </w:num>
  <w:num w:numId="9" w16cid:durableId="2120561129">
    <w:abstractNumId w:val="2"/>
  </w:num>
  <w:num w:numId="10" w16cid:durableId="854923112">
    <w:abstractNumId w:val="19"/>
  </w:num>
  <w:num w:numId="11" w16cid:durableId="127012667">
    <w:abstractNumId w:val="13"/>
  </w:num>
  <w:num w:numId="12" w16cid:durableId="1696809501">
    <w:abstractNumId w:val="15"/>
  </w:num>
  <w:num w:numId="13" w16cid:durableId="739714010">
    <w:abstractNumId w:val="14"/>
  </w:num>
  <w:num w:numId="14" w16cid:durableId="687685118">
    <w:abstractNumId w:val="8"/>
  </w:num>
  <w:num w:numId="15" w16cid:durableId="1933707106">
    <w:abstractNumId w:val="7"/>
  </w:num>
  <w:num w:numId="16" w16cid:durableId="841553202">
    <w:abstractNumId w:val="1"/>
  </w:num>
  <w:num w:numId="17" w16cid:durableId="1086531435">
    <w:abstractNumId w:val="18"/>
  </w:num>
  <w:num w:numId="18" w16cid:durableId="517895391">
    <w:abstractNumId w:val="11"/>
  </w:num>
  <w:num w:numId="19" w16cid:durableId="1105925025">
    <w:abstractNumId w:val="6"/>
  </w:num>
  <w:num w:numId="20" w16cid:durableId="646322846">
    <w:abstractNumId w:val="15"/>
  </w:num>
  <w:num w:numId="21" w16cid:durableId="953367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94"/>
    <w:rsid w:val="00011C15"/>
    <w:rsid w:val="00012E64"/>
    <w:rsid w:val="00014D07"/>
    <w:rsid w:val="00055489"/>
    <w:rsid w:val="00076538"/>
    <w:rsid w:val="00092626"/>
    <w:rsid w:val="000C1E15"/>
    <w:rsid w:val="001100D5"/>
    <w:rsid w:val="00115D67"/>
    <w:rsid w:val="00116CB7"/>
    <w:rsid w:val="00125C1F"/>
    <w:rsid w:val="00131B78"/>
    <w:rsid w:val="00142BF9"/>
    <w:rsid w:val="001534F4"/>
    <w:rsid w:val="001675B9"/>
    <w:rsid w:val="001909D8"/>
    <w:rsid w:val="0019721B"/>
    <w:rsid w:val="001C2C15"/>
    <w:rsid w:val="001C578E"/>
    <w:rsid w:val="001C73AC"/>
    <w:rsid w:val="001E2E94"/>
    <w:rsid w:val="001F63E7"/>
    <w:rsid w:val="0022659B"/>
    <w:rsid w:val="0023762E"/>
    <w:rsid w:val="00240AD4"/>
    <w:rsid w:val="00240D7A"/>
    <w:rsid w:val="00261096"/>
    <w:rsid w:val="00275181"/>
    <w:rsid w:val="002A0390"/>
    <w:rsid w:val="002A34D9"/>
    <w:rsid w:val="00300D0C"/>
    <w:rsid w:val="00312F8F"/>
    <w:rsid w:val="003325FC"/>
    <w:rsid w:val="00335BE4"/>
    <w:rsid w:val="00387FBC"/>
    <w:rsid w:val="003A16D6"/>
    <w:rsid w:val="003A75FC"/>
    <w:rsid w:val="003B7DA0"/>
    <w:rsid w:val="003F36C0"/>
    <w:rsid w:val="00404F4A"/>
    <w:rsid w:val="004050A9"/>
    <w:rsid w:val="00425C95"/>
    <w:rsid w:val="00426C08"/>
    <w:rsid w:val="00486A8A"/>
    <w:rsid w:val="004C2403"/>
    <w:rsid w:val="005123C1"/>
    <w:rsid w:val="00513C57"/>
    <w:rsid w:val="00517A86"/>
    <w:rsid w:val="005235F6"/>
    <w:rsid w:val="00540DCB"/>
    <w:rsid w:val="00545643"/>
    <w:rsid w:val="00552287"/>
    <w:rsid w:val="00553F44"/>
    <w:rsid w:val="00564564"/>
    <w:rsid w:val="00565162"/>
    <w:rsid w:val="00572F79"/>
    <w:rsid w:val="005946D5"/>
    <w:rsid w:val="005A47F9"/>
    <w:rsid w:val="005B2511"/>
    <w:rsid w:val="005C04D1"/>
    <w:rsid w:val="005C5445"/>
    <w:rsid w:val="005D22B3"/>
    <w:rsid w:val="005F5DBD"/>
    <w:rsid w:val="006307E4"/>
    <w:rsid w:val="00631770"/>
    <w:rsid w:val="006363B4"/>
    <w:rsid w:val="006474D4"/>
    <w:rsid w:val="00657929"/>
    <w:rsid w:val="006969ED"/>
    <w:rsid w:val="006A6E04"/>
    <w:rsid w:val="006B0C18"/>
    <w:rsid w:val="006C6863"/>
    <w:rsid w:val="006D19C1"/>
    <w:rsid w:val="006F08D9"/>
    <w:rsid w:val="006F0CE9"/>
    <w:rsid w:val="006F4042"/>
    <w:rsid w:val="007004F2"/>
    <w:rsid w:val="00725842"/>
    <w:rsid w:val="00726486"/>
    <w:rsid w:val="007349E7"/>
    <w:rsid w:val="007528C8"/>
    <w:rsid w:val="00760E1E"/>
    <w:rsid w:val="007620F1"/>
    <w:rsid w:val="0076611D"/>
    <w:rsid w:val="007755F9"/>
    <w:rsid w:val="00792CCE"/>
    <w:rsid w:val="007B39D1"/>
    <w:rsid w:val="007B6876"/>
    <w:rsid w:val="007B7DAA"/>
    <w:rsid w:val="007C1264"/>
    <w:rsid w:val="007C53A4"/>
    <w:rsid w:val="007E389C"/>
    <w:rsid w:val="007E599D"/>
    <w:rsid w:val="00815D25"/>
    <w:rsid w:val="008212C9"/>
    <w:rsid w:val="00827FE1"/>
    <w:rsid w:val="00836AEF"/>
    <w:rsid w:val="00853C4B"/>
    <w:rsid w:val="00886855"/>
    <w:rsid w:val="008B2760"/>
    <w:rsid w:val="008B7B0E"/>
    <w:rsid w:val="008C639A"/>
    <w:rsid w:val="008F1141"/>
    <w:rsid w:val="00917A4F"/>
    <w:rsid w:val="00922E83"/>
    <w:rsid w:val="00957B59"/>
    <w:rsid w:val="00972AD3"/>
    <w:rsid w:val="009745E5"/>
    <w:rsid w:val="00987276"/>
    <w:rsid w:val="009A425A"/>
    <w:rsid w:val="009C2896"/>
    <w:rsid w:val="009C5545"/>
    <w:rsid w:val="009E0A89"/>
    <w:rsid w:val="009E0DC4"/>
    <w:rsid w:val="00A204DA"/>
    <w:rsid w:val="00A42C57"/>
    <w:rsid w:val="00A56D08"/>
    <w:rsid w:val="00A77D6F"/>
    <w:rsid w:val="00AD3C85"/>
    <w:rsid w:val="00AF756D"/>
    <w:rsid w:val="00B03B5C"/>
    <w:rsid w:val="00B37317"/>
    <w:rsid w:val="00B4459B"/>
    <w:rsid w:val="00B5653C"/>
    <w:rsid w:val="00B77A53"/>
    <w:rsid w:val="00B87272"/>
    <w:rsid w:val="00B94FFB"/>
    <w:rsid w:val="00BA0396"/>
    <w:rsid w:val="00BB19B1"/>
    <w:rsid w:val="00BB2A12"/>
    <w:rsid w:val="00BD5D26"/>
    <w:rsid w:val="00BF08F6"/>
    <w:rsid w:val="00BF1933"/>
    <w:rsid w:val="00BF2D49"/>
    <w:rsid w:val="00BF6D3E"/>
    <w:rsid w:val="00C1569E"/>
    <w:rsid w:val="00C312C0"/>
    <w:rsid w:val="00C36334"/>
    <w:rsid w:val="00C36446"/>
    <w:rsid w:val="00CA56DB"/>
    <w:rsid w:val="00CB235F"/>
    <w:rsid w:val="00CE4201"/>
    <w:rsid w:val="00CF19F9"/>
    <w:rsid w:val="00D04498"/>
    <w:rsid w:val="00D116A8"/>
    <w:rsid w:val="00D14146"/>
    <w:rsid w:val="00D1555C"/>
    <w:rsid w:val="00D50048"/>
    <w:rsid w:val="00D61116"/>
    <w:rsid w:val="00DA75C7"/>
    <w:rsid w:val="00DC3ABF"/>
    <w:rsid w:val="00DC6F18"/>
    <w:rsid w:val="00DC7031"/>
    <w:rsid w:val="00DD0510"/>
    <w:rsid w:val="00DD27FA"/>
    <w:rsid w:val="00DE7608"/>
    <w:rsid w:val="00E17990"/>
    <w:rsid w:val="00E2556A"/>
    <w:rsid w:val="00E277CD"/>
    <w:rsid w:val="00E333AD"/>
    <w:rsid w:val="00E73A27"/>
    <w:rsid w:val="00E8234D"/>
    <w:rsid w:val="00E8340D"/>
    <w:rsid w:val="00EC5C2A"/>
    <w:rsid w:val="00F0226D"/>
    <w:rsid w:val="00F16AD3"/>
    <w:rsid w:val="00F22239"/>
    <w:rsid w:val="00F25A72"/>
    <w:rsid w:val="00F316A9"/>
    <w:rsid w:val="00F4762D"/>
    <w:rsid w:val="00F70A33"/>
    <w:rsid w:val="00F71CAD"/>
    <w:rsid w:val="00F745B1"/>
    <w:rsid w:val="00F82814"/>
    <w:rsid w:val="00F97F4E"/>
    <w:rsid w:val="00FA34B0"/>
    <w:rsid w:val="00FB328F"/>
    <w:rsid w:val="00FC1847"/>
    <w:rsid w:val="00FE029D"/>
    <w:rsid w:val="00FF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5342"/>
  <w15:chartTrackingRefBased/>
  <w15:docId w15:val="{8C8F4808-EE48-4BDE-9FCE-26139914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94"/>
    <w:pPr>
      <w:suppressAutoHyphens/>
      <w:spacing w:after="0" w:line="240" w:lineRule="auto"/>
      <w:jc w:val="both"/>
    </w:pPr>
    <w:rPr>
      <w:rFonts w:ascii="Arial" w:eastAsia="Times New Roman" w:hAnsi="Arial" w:cs="Times New Roman"/>
      <w:kern w:val="0"/>
      <w:sz w:val="24"/>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2E94"/>
    <w:pPr>
      <w:suppressAutoHyphens w:val="0"/>
      <w:jc w:val="left"/>
    </w:pPr>
    <w:rPr>
      <w:rFonts w:eastAsia="MS ??" w:cs="Arial"/>
      <w:sz w:val="22"/>
      <w:szCs w:val="22"/>
    </w:rPr>
  </w:style>
  <w:style w:type="character" w:customStyle="1" w:styleId="BodyTextChar">
    <w:name w:val="Body Text Char"/>
    <w:basedOn w:val="DefaultParagraphFont"/>
    <w:link w:val="BodyText"/>
    <w:rsid w:val="001E2E94"/>
    <w:rPr>
      <w:rFonts w:ascii="Arial" w:eastAsia="MS ??" w:hAnsi="Arial" w:cs="Arial"/>
      <w:kern w:val="0"/>
      <w14:ligatures w14:val="none"/>
    </w:rPr>
  </w:style>
  <w:style w:type="table" w:styleId="TableGrid">
    <w:name w:val="Table Grid"/>
    <w:basedOn w:val="TableNormal"/>
    <w:uiPriority w:val="39"/>
    <w:rsid w:val="001E2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E2E94"/>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DD27FA"/>
    <w:rPr>
      <w:rFonts w:ascii="Arial" w:eastAsia="Times New Roman" w:hAnsi="Arial" w:cs="Times New Roman"/>
      <w:kern w:val="0"/>
      <w:sz w:val="24"/>
      <w:szCs w:val="20"/>
      <w14:ligatures w14:val="none"/>
    </w:rPr>
  </w:style>
  <w:style w:type="character" w:styleId="Hyperlink">
    <w:name w:val="Hyperlink"/>
    <w:uiPriority w:val="99"/>
    <w:rsid w:val="00972AD3"/>
    <w:rPr>
      <w:rFonts w:ascii="Arial" w:hAnsi="Arial" w:cs="Times New Roman"/>
      <w:color w:val="0000FF"/>
      <w:sz w:val="24"/>
      <w:u w:val="single"/>
    </w:rPr>
  </w:style>
  <w:style w:type="character" w:styleId="UnresolvedMention">
    <w:name w:val="Unresolved Mention"/>
    <w:basedOn w:val="DefaultParagraphFont"/>
    <w:uiPriority w:val="99"/>
    <w:semiHidden/>
    <w:unhideWhenUsed/>
    <w:rsid w:val="00092626"/>
    <w:rPr>
      <w:color w:val="605E5C"/>
      <w:shd w:val="clear" w:color="auto" w:fill="E1DFDD"/>
    </w:rPr>
  </w:style>
  <w:style w:type="character" w:styleId="CommentReference">
    <w:name w:val="annotation reference"/>
    <w:basedOn w:val="DefaultParagraphFont"/>
    <w:uiPriority w:val="99"/>
    <w:semiHidden/>
    <w:unhideWhenUsed/>
    <w:rsid w:val="00827FE1"/>
    <w:rPr>
      <w:sz w:val="16"/>
      <w:szCs w:val="16"/>
    </w:rPr>
  </w:style>
  <w:style w:type="paragraph" w:styleId="CommentText">
    <w:name w:val="annotation text"/>
    <w:basedOn w:val="Normal"/>
    <w:link w:val="CommentTextChar"/>
    <w:uiPriority w:val="99"/>
    <w:semiHidden/>
    <w:unhideWhenUsed/>
    <w:rsid w:val="00827FE1"/>
    <w:rPr>
      <w:sz w:val="20"/>
    </w:rPr>
  </w:style>
  <w:style w:type="character" w:customStyle="1" w:styleId="CommentTextChar">
    <w:name w:val="Comment Text Char"/>
    <w:basedOn w:val="DefaultParagraphFont"/>
    <w:link w:val="CommentText"/>
    <w:uiPriority w:val="99"/>
    <w:semiHidden/>
    <w:rsid w:val="00827FE1"/>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31540">
      <w:bodyDiv w:val="1"/>
      <w:marLeft w:val="0"/>
      <w:marRight w:val="0"/>
      <w:marTop w:val="0"/>
      <w:marBottom w:val="0"/>
      <w:divBdr>
        <w:top w:val="none" w:sz="0" w:space="0" w:color="auto"/>
        <w:left w:val="none" w:sz="0" w:space="0" w:color="auto"/>
        <w:bottom w:val="none" w:sz="0" w:space="0" w:color="auto"/>
        <w:right w:val="none" w:sz="0" w:space="0" w:color="auto"/>
      </w:divBdr>
    </w:div>
    <w:div w:id="639964023">
      <w:bodyDiv w:val="1"/>
      <w:marLeft w:val="0"/>
      <w:marRight w:val="0"/>
      <w:marTop w:val="0"/>
      <w:marBottom w:val="0"/>
      <w:divBdr>
        <w:top w:val="none" w:sz="0" w:space="0" w:color="auto"/>
        <w:left w:val="none" w:sz="0" w:space="0" w:color="auto"/>
        <w:bottom w:val="none" w:sz="0" w:space="0" w:color="auto"/>
        <w:right w:val="none" w:sz="0" w:space="0" w:color="auto"/>
      </w:divBdr>
    </w:div>
    <w:div w:id="129271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ypsp.haltonsafeguarding.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cypsp.haltonsafeguarding.co.uk/procedure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8CA436BD1494DBB7A984C2A52B5BA" ma:contentTypeVersion="15" ma:contentTypeDescription="Create a new document." ma:contentTypeScope="" ma:versionID="fb4acf680a2dd3672c16b3a4840034d1">
  <xsd:schema xmlns:xsd="http://www.w3.org/2001/XMLSchema" xmlns:xs="http://www.w3.org/2001/XMLSchema" xmlns:p="http://schemas.microsoft.com/office/2006/metadata/properties" xmlns:ns2="e61f764c-0a04-487e-986d-5333bd60b83e" xmlns:ns3="9587d29d-9b85-47b5-a1d1-fa25f63d522b" targetNamespace="http://schemas.microsoft.com/office/2006/metadata/properties" ma:root="true" ma:fieldsID="e93890a51912f17e5f9be0745ed1dbc1" ns2:_="" ns3:_="">
    <xsd:import namespace="e61f764c-0a04-487e-986d-5333bd60b83e"/>
    <xsd:import namespace="9587d29d-9b85-47b5-a1d1-fa25f63d5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764c-0a04-487e-986d-5333bd60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27f4-b5ca-4aff-9e25-850b26588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7d29d-9b85-47b5-a1d1-fa25f63d52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c2d8e5-a5b1-4915-b00e-52ccf530b5bf}" ma:internalName="TaxCatchAll" ma:showField="CatchAllData" ma:web="9587d29d-9b85-47b5-a1d1-fa25f63d52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87d29d-9b85-47b5-a1d1-fa25f63d522b" xsi:nil="true"/>
    <lcf76f155ced4ddcb4097134ff3c332f xmlns="e61f764c-0a04-487e-986d-5333bd60b8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20961-C06E-48B8-83B5-CBF89724EEE5}"/>
</file>

<file path=customXml/itemProps2.xml><?xml version="1.0" encoding="utf-8"?>
<ds:datastoreItem xmlns:ds="http://schemas.openxmlformats.org/officeDocument/2006/customXml" ds:itemID="{8BEBB481-C8A3-4E12-8DE1-4E6CC14C3CB2}">
  <ds:schemaRefs>
    <ds:schemaRef ds:uri="http://schemas.microsoft.com/office/2006/metadata/properties"/>
    <ds:schemaRef ds:uri="http://schemas.microsoft.com/office/infopath/2007/PartnerControls"/>
    <ds:schemaRef ds:uri="11de2e8c-2ace-4fa2-81b9-be6dc61deeaf"/>
    <ds:schemaRef ds:uri="ee137f64-5923-4905-a363-ef0496f536bb"/>
  </ds:schemaRefs>
</ds:datastoreItem>
</file>

<file path=customXml/itemProps3.xml><?xml version="1.0" encoding="utf-8"?>
<ds:datastoreItem xmlns:ds="http://schemas.openxmlformats.org/officeDocument/2006/customXml" ds:itemID="{1056A8AF-14E9-4E4C-AB37-75E3C80686EB}">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Evison</dc:creator>
  <cp:keywords/>
  <dc:description/>
  <cp:lastModifiedBy>Jayne Hardman</cp:lastModifiedBy>
  <cp:revision>13</cp:revision>
  <dcterms:created xsi:type="dcterms:W3CDTF">2025-01-20T15:17:00Z</dcterms:created>
  <dcterms:modified xsi:type="dcterms:W3CDTF">2025-02-19T14:34:00Z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0x0101003C98CA436BD1494DBB7A984C2A52B5BA</vt:lpwstr>
  </property>
  <property fmtid="{D5CDD505-2E9C-101B-9397-08002B2CF9AE}" pid="3" name="MediaServiceImageTags">
    <vt:lpwstr/>
  </property>
</Properties>
</file>