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5609" w14:textId="77777777" w:rsidR="00177F15" w:rsidRDefault="00177F15" w:rsidP="008661C2">
      <w:pPr>
        <w:pStyle w:val="Heading2"/>
        <w:keepNext w:val="0"/>
        <w:widowControl w:val="0"/>
        <w:suppressAutoHyphens w:val="0"/>
        <w:spacing w:before="240"/>
        <w:ind w:left="0" w:firstLine="0"/>
        <w:jc w:val="center"/>
      </w:pPr>
      <w:r>
        <w:t>APPENDIX A</w:t>
      </w:r>
    </w:p>
    <w:p w14:paraId="16234A00" w14:textId="77777777" w:rsidR="00177F15" w:rsidRDefault="00177F15" w:rsidP="00177F15">
      <w:pPr>
        <w:pStyle w:val="BodyText"/>
        <w:jc w:val="center"/>
        <w:rPr>
          <w:b/>
          <w:bCs/>
          <w:sz w:val="20"/>
          <w:szCs w:val="20"/>
        </w:rPr>
      </w:pPr>
    </w:p>
    <w:p w14:paraId="62DA945A" w14:textId="77777777" w:rsidR="00177F15" w:rsidRPr="002D2E2F" w:rsidRDefault="00177F15" w:rsidP="00177F15">
      <w:pPr>
        <w:pStyle w:val="BodyText"/>
        <w:jc w:val="center"/>
        <w:rPr>
          <w:b/>
          <w:bCs/>
          <w:sz w:val="20"/>
        </w:rPr>
      </w:pPr>
      <w:r w:rsidRPr="002D2E2F">
        <w:rPr>
          <w:b/>
          <w:bCs/>
          <w:sz w:val="20"/>
        </w:rPr>
        <w:t>SERVICE SPECIFICATION</w:t>
      </w:r>
    </w:p>
    <w:p w14:paraId="45B4C74E" w14:textId="77777777" w:rsidR="00177F15" w:rsidRPr="0013491C" w:rsidRDefault="00177F15" w:rsidP="00177F15">
      <w:pPr>
        <w:pStyle w:val="BodyText"/>
        <w:jc w:val="both"/>
        <w:rPr>
          <w:b/>
          <w:bCs/>
        </w:rPr>
      </w:pP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674"/>
      </w:tblGrid>
      <w:tr w:rsidR="00177F15" w:rsidRPr="008661C2" w14:paraId="18F8D723" w14:textId="77777777" w:rsidTr="715C5E64">
        <w:trPr>
          <w:trHeight w:val="345"/>
        </w:trPr>
        <w:tc>
          <w:tcPr>
            <w:tcW w:w="3073" w:type="dxa"/>
            <w:shd w:val="clear" w:color="auto" w:fill="595959" w:themeFill="text1" w:themeFillTint="A6"/>
            <w:vAlign w:val="center"/>
          </w:tcPr>
          <w:p w14:paraId="434EC417" w14:textId="77777777" w:rsidR="00177F15" w:rsidRPr="0084128C" w:rsidRDefault="00177F15" w:rsidP="0090656C">
            <w:pPr>
              <w:pStyle w:val="BodyText"/>
              <w:rPr>
                <w:color w:val="FFFFFF" w:themeColor="background1"/>
                <w:sz w:val="20"/>
                <w:szCs w:val="20"/>
              </w:rPr>
            </w:pPr>
            <w:r w:rsidRPr="0084128C">
              <w:rPr>
                <w:color w:val="FFFFFF" w:themeColor="background1"/>
                <w:sz w:val="20"/>
                <w:szCs w:val="20"/>
              </w:rPr>
              <w:t xml:space="preserve">Service Specification No. </w:t>
            </w:r>
          </w:p>
        </w:tc>
        <w:tc>
          <w:tcPr>
            <w:tcW w:w="6674" w:type="dxa"/>
            <w:vAlign w:val="center"/>
          </w:tcPr>
          <w:p w14:paraId="3FC58E82" w14:textId="77777777" w:rsidR="00177F15" w:rsidRPr="008661C2" w:rsidRDefault="00177F15" w:rsidP="0090656C">
            <w:pPr>
              <w:pStyle w:val="BodyText"/>
              <w:rPr>
                <w:b/>
                <w:bCs/>
                <w:sz w:val="20"/>
                <w:szCs w:val="20"/>
              </w:rPr>
            </w:pPr>
          </w:p>
        </w:tc>
      </w:tr>
      <w:tr w:rsidR="00177F15" w:rsidRPr="008661C2" w14:paraId="6866C4FF" w14:textId="77777777" w:rsidTr="715C5E64">
        <w:trPr>
          <w:trHeight w:val="345"/>
        </w:trPr>
        <w:tc>
          <w:tcPr>
            <w:tcW w:w="3073" w:type="dxa"/>
            <w:shd w:val="clear" w:color="auto" w:fill="595959" w:themeFill="text1" w:themeFillTint="A6"/>
            <w:vAlign w:val="center"/>
          </w:tcPr>
          <w:p w14:paraId="1D621F40" w14:textId="77777777" w:rsidR="00177F15" w:rsidRPr="0084128C" w:rsidRDefault="00177F15" w:rsidP="0090656C">
            <w:pPr>
              <w:pStyle w:val="BodyText"/>
              <w:rPr>
                <w:color w:val="FFFFFF" w:themeColor="background1"/>
                <w:sz w:val="20"/>
                <w:szCs w:val="20"/>
              </w:rPr>
            </w:pPr>
            <w:r w:rsidRPr="0084128C">
              <w:rPr>
                <w:color w:val="FFFFFF" w:themeColor="background1"/>
                <w:sz w:val="20"/>
                <w:szCs w:val="20"/>
              </w:rPr>
              <w:t>Service</w:t>
            </w:r>
          </w:p>
        </w:tc>
        <w:tc>
          <w:tcPr>
            <w:tcW w:w="6674" w:type="dxa"/>
            <w:vAlign w:val="center"/>
          </w:tcPr>
          <w:p w14:paraId="5855A34E" w14:textId="1F435CD5" w:rsidR="00177F15" w:rsidRPr="008661C2" w:rsidRDefault="003B4312" w:rsidP="00AE49B6">
            <w:pPr>
              <w:pStyle w:val="BodyText"/>
              <w:rPr>
                <w:b/>
                <w:bCs/>
                <w:sz w:val="20"/>
                <w:szCs w:val="20"/>
              </w:rPr>
            </w:pPr>
            <w:r>
              <w:rPr>
                <w:b/>
                <w:bCs/>
                <w:sz w:val="20"/>
                <w:szCs w:val="20"/>
              </w:rPr>
              <w:t>Vitamin D vouchers for Winter Well packs</w:t>
            </w:r>
          </w:p>
        </w:tc>
      </w:tr>
      <w:tr w:rsidR="00177F15" w:rsidRPr="008661C2" w14:paraId="236523D2" w14:textId="77777777" w:rsidTr="715C5E64">
        <w:trPr>
          <w:trHeight w:val="345"/>
        </w:trPr>
        <w:tc>
          <w:tcPr>
            <w:tcW w:w="3073" w:type="dxa"/>
            <w:shd w:val="clear" w:color="auto" w:fill="595959" w:themeFill="text1" w:themeFillTint="A6"/>
            <w:vAlign w:val="center"/>
          </w:tcPr>
          <w:p w14:paraId="49A0466C" w14:textId="77777777" w:rsidR="00177F15" w:rsidRPr="0084128C" w:rsidRDefault="00177F15" w:rsidP="0090656C">
            <w:pPr>
              <w:pStyle w:val="BodyText"/>
              <w:rPr>
                <w:color w:val="FFFFFF" w:themeColor="background1"/>
                <w:sz w:val="20"/>
                <w:szCs w:val="20"/>
              </w:rPr>
            </w:pPr>
            <w:r w:rsidRPr="0084128C">
              <w:rPr>
                <w:color w:val="FFFFFF" w:themeColor="background1"/>
                <w:sz w:val="20"/>
                <w:szCs w:val="20"/>
              </w:rPr>
              <w:t>Authority Lead</w:t>
            </w:r>
          </w:p>
        </w:tc>
        <w:tc>
          <w:tcPr>
            <w:tcW w:w="6674" w:type="dxa"/>
            <w:vAlign w:val="center"/>
          </w:tcPr>
          <w:p w14:paraId="24BA8AA2" w14:textId="77777777" w:rsidR="00177F15" w:rsidRPr="008661C2" w:rsidRDefault="0084128C" w:rsidP="008661C2">
            <w:pPr>
              <w:pStyle w:val="BodyText"/>
              <w:rPr>
                <w:b/>
                <w:bCs/>
                <w:sz w:val="20"/>
                <w:szCs w:val="20"/>
              </w:rPr>
            </w:pPr>
            <w:r>
              <w:rPr>
                <w:b/>
                <w:bCs/>
                <w:sz w:val="20"/>
                <w:szCs w:val="20"/>
              </w:rPr>
              <w:t>St Helens Council, Public Health</w:t>
            </w:r>
          </w:p>
        </w:tc>
      </w:tr>
      <w:tr w:rsidR="00177F15" w:rsidRPr="008661C2" w14:paraId="1853BD98" w14:textId="77777777" w:rsidTr="715C5E64">
        <w:trPr>
          <w:trHeight w:val="345"/>
        </w:trPr>
        <w:tc>
          <w:tcPr>
            <w:tcW w:w="3073" w:type="dxa"/>
            <w:shd w:val="clear" w:color="auto" w:fill="595959" w:themeFill="text1" w:themeFillTint="A6"/>
            <w:vAlign w:val="center"/>
          </w:tcPr>
          <w:p w14:paraId="7A1C0740" w14:textId="77777777" w:rsidR="00177F15" w:rsidRPr="0084128C" w:rsidRDefault="00177F15" w:rsidP="0090656C">
            <w:pPr>
              <w:pStyle w:val="BodyText"/>
              <w:rPr>
                <w:color w:val="FFFFFF" w:themeColor="background1"/>
                <w:sz w:val="20"/>
                <w:szCs w:val="20"/>
              </w:rPr>
            </w:pPr>
            <w:r w:rsidRPr="0084128C">
              <w:rPr>
                <w:color w:val="FFFFFF" w:themeColor="background1"/>
                <w:sz w:val="20"/>
                <w:szCs w:val="20"/>
              </w:rPr>
              <w:t>Provider Lead</w:t>
            </w:r>
          </w:p>
        </w:tc>
        <w:tc>
          <w:tcPr>
            <w:tcW w:w="6674" w:type="dxa"/>
            <w:vAlign w:val="center"/>
          </w:tcPr>
          <w:p w14:paraId="204F2BE5" w14:textId="0A98A055" w:rsidR="00177F15" w:rsidRPr="008661C2" w:rsidRDefault="002D2E2F" w:rsidP="0090656C">
            <w:pPr>
              <w:pStyle w:val="BodyText"/>
              <w:rPr>
                <w:b/>
                <w:bCs/>
                <w:sz w:val="20"/>
                <w:szCs w:val="20"/>
              </w:rPr>
            </w:pPr>
            <w:r>
              <w:rPr>
                <w:b/>
                <w:bCs/>
                <w:sz w:val="20"/>
                <w:szCs w:val="20"/>
              </w:rPr>
              <w:t>Community Pharmacy</w:t>
            </w:r>
            <w:r w:rsidR="00E75E51">
              <w:rPr>
                <w:b/>
                <w:bCs/>
                <w:sz w:val="20"/>
                <w:szCs w:val="20"/>
              </w:rPr>
              <w:t xml:space="preserve"> </w:t>
            </w:r>
          </w:p>
        </w:tc>
      </w:tr>
      <w:tr w:rsidR="00177F15" w:rsidRPr="008661C2" w14:paraId="06C26C1A" w14:textId="77777777" w:rsidTr="715C5E64">
        <w:trPr>
          <w:trHeight w:val="345"/>
        </w:trPr>
        <w:tc>
          <w:tcPr>
            <w:tcW w:w="3073" w:type="dxa"/>
            <w:shd w:val="clear" w:color="auto" w:fill="595959" w:themeFill="text1" w:themeFillTint="A6"/>
            <w:vAlign w:val="center"/>
          </w:tcPr>
          <w:p w14:paraId="5F9D3C0B" w14:textId="77777777" w:rsidR="00177F15" w:rsidRPr="0084128C" w:rsidRDefault="00177F15" w:rsidP="0090656C">
            <w:pPr>
              <w:pStyle w:val="BodyText"/>
              <w:rPr>
                <w:color w:val="FFFFFF" w:themeColor="background1"/>
                <w:sz w:val="20"/>
                <w:szCs w:val="20"/>
              </w:rPr>
            </w:pPr>
            <w:r w:rsidRPr="0084128C">
              <w:rPr>
                <w:color w:val="FFFFFF" w:themeColor="background1"/>
                <w:sz w:val="20"/>
                <w:szCs w:val="20"/>
              </w:rPr>
              <w:t>Period</w:t>
            </w:r>
          </w:p>
        </w:tc>
        <w:tc>
          <w:tcPr>
            <w:tcW w:w="6674" w:type="dxa"/>
            <w:vAlign w:val="center"/>
          </w:tcPr>
          <w:p w14:paraId="2E156B4E" w14:textId="7C59EB5B" w:rsidR="00141CE4" w:rsidRPr="003B4312" w:rsidRDefault="3B7C5914" w:rsidP="2E320398">
            <w:pPr>
              <w:pStyle w:val="BodyText"/>
              <w:rPr>
                <w:sz w:val="20"/>
                <w:szCs w:val="20"/>
              </w:rPr>
            </w:pPr>
            <w:r w:rsidRPr="715C5E64">
              <w:rPr>
                <w:sz w:val="20"/>
                <w:szCs w:val="20"/>
              </w:rPr>
              <w:t>11</w:t>
            </w:r>
            <w:r w:rsidRPr="715C5E64">
              <w:rPr>
                <w:sz w:val="20"/>
                <w:szCs w:val="20"/>
                <w:vertAlign w:val="superscript"/>
              </w:rPr>
              <w:t>th</w:t>
            </w:r>
            <w:r w:rsidRPr="715C5E64">
              <w:rPr>
                <w:sz w:val="20"/>
                <w:szCs w:val="20"/>
              </w:rPr>
              <w:t xml:space="preserve"> </w:t>
            </w:r>
            <w:r w:rsidR="06D2970B" w:rsidRPr="715C5E64">
              <w:rPr>
                <w:sz w:val="20"/>
                <w:szCs w:val="20"/>
              </w:rPr>
              <w:t xml:space="preserve">Nov 2024 – </w:t>
            </w:r>
            <w:r w:rsidR="02987BAC" w:rsidRPr="715C5E64">
              <w:rPr>
                <w:sz w:val="20"/>
                <w:szCs w:val="20"/>
              </w:rPr>
              <w:t>31</w:t>
            </w:r>
            <w:r w:rsidR="02987BAC" w:rsidRPr="715C5E64">
              <w:rPr>
                <w:sz w:val="20"/>
                <w:szCs w:val="20"/>
                <w:vertAlign w:val="superscript"/>
              </w:rPr>
              <w:t>st</w:t>
            </w:r>
            <w:r w:rsidR="02987BAC" w:rsidRPr="715C5E64">
              <w:rPr>
                <w:sz w:val="20"/>
                <w:szCs w:val="20"/>
              </w:rPr>
              <w:t xml:space="preserve"> </w:t>
            </w:r>
            <w:r w:rsidR="06D2970B" w:rsidRPr="715C5E64">
              <w:rPr>
                <w:sz w:val="20"/>
                <w:szCs w:val="20"/>
              </w:rPr>
              <w:t>March 2025</w:t>
            </w:r>
          </w:p>
        </w:tc>
      </w:tr>
      <w:tr w:rsidR="00177F15" w:rsidRPr="008661C2" w14:paraId="26DBA964" w14:textId="77777777" w:rsidTr="715C5E64">
        <w:trPr>
          <w:trHeight w:val="345"/>
        </w:trPr>
        <w:tc>
          <w:tcPr>
            <w:tcW w:w="3073" w:type="dxa"/>
            <w:shd w:val="clear" w:color="auto" w:fill="595959" w:themeFill="text1" w:themeFillTint="A6"/>
            <w:vAlign w:val="center"/>
          </w:tcPr>
          <w:p w14:paraId="6BB9CFF9" w14:textId="77777777" w:rsidR="00177F15" w:rsidRPr="0084128C" w:rsidRDefault="00177F15" w:rsidP="0090656C">
            <w:pPr>
              <w:pStyle w:val="BodyText"/>
              <w:rPr>
                <w:color w:val="FFFFFF" w:themeColor="background1"/>
                <w:sz w:val="20"/>
                <w:szCs w:val="20"/>
              </w:rPr>
            </w:pPr>
            <w:r w:rsidRPr="0084128C">
              <w:rPr>
                <w:color w:val="FFFFFF" w:themeColor="background1"/>
                <w:sz w:val="20"/>
                <w:szCs w:val="20"/>
              </w:rPr>
              <w:t>Date of Review</w:t>
            </w:r>
          </w:p>
        </w:tc>
        <w:tc>
          <w:tcPr>
            <w:tcW w:w="6674" w:type="dxa"/>
            <w:vAlign w:val="center"/>
          </w:tcPr>
          <w:p w14:paraId="526C7BF1" w14:textId="7B34CAFD" w:rsidR="00177F15" w:rsidRPr="008661C2" w:rsidRDefault="00141CE4" w:rsidP="002E1DC3">
            <w:pPr>
              <w:pStyle w:val="BodyText"/>
              <w:rPr>
                <w:b/>
                <w:bCs/>
                <w:sz w:val="20"/>
                <w:szCs w:val="20"/>
              </w:rPr>
            </w:pPr>
            <w:r>
              <w:rPr>
                <w:b/>
                <w:bCs/>
                <w:sz w:val="20"/>
                <w:szCs w:val="20"/>
              </w:rPr>
              <w:t>Annual</w:t>
            </w:r>
          </w:p>
        </w:tc>
      </w:tr>
    </w:tbl>
    <w:p w14:paraId="53FE16D3" w14:textId="77777777" w:rsidR="00177F15" w:rsidRPr="0013491C" w:rsidRDefault="00177F15" w:rsidP="00177F15">
      <w:pPr>
        <w:rPr>
          <w:rFonts w:cs="Arial"/>
          <w:sz w:val="22"/>
          <w:szCs w:val="22"/>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177F15" w:rsidRPr="0013491C" w14:paraId="70D8E3D6"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666666"/>
          </w:tcPr>
          <w:p w14:paraId="55BE9104" w14:textId="77777777" w:rsidR="00177F15" w:rsidRPr="00523BD7" w:rsidRDefault="00177F15" w:rsidP="0090656C">
            <w:pPr>
              <w:pStyle w:val="BodyText"/>
              <w:jc w:val="both"/>
              <w:rPr>
                <w:color w:val="FFFFFF" w:themeColor="background1"/>
              </w:rPr>
            </w:pPr>
          </w:p>
          <w:p w14:paraId="0ACE23AB" w14:textId="77777777" w:rsidR="00177F15" w:rsidRPr="000A1A1A" w:rsidRDefault="00177F15" w:rsidP="0090656C">
            <w:pPr>
              <w:pStyle w:val="BodyText"/>
              <w:jc w:val="both"/>
              <w:rPr>
                <w:color w:val="FFFFFF" w:themeColor="background1"/>
              </w:rPr>
            </w:pPr>
            <w:r w:rsidRPr="000A1A1A">
              <w:rPr>
                <w:color w:val="FFFFFF" w:themeColor="background1"/>
              </w:rPr>
              <w:t>1.  Population Needs</w:t>
            </w:r>
          </w:p>
          <w:p w14:paraId="213B091A" w14:textId="77777777" w:rsidR="00177F15" w:rsidRPr="0013491C" w:rsidRDefault="00177F15" w:rsidP="0090656C">
            <w:pPr>
              <w:pStyle w:val="BodyText"/>
              <w:jc w:val="both"/>
              <w:rPr>
                <w:color w:val="FF0000"/>
              </w:rPr>
            </w:pPr>
          </w:p>
        </w:tc>
      </w:tr>
      <w:tr w:rsidR="00177F15" w:rsidRPr="0013491C" w14:paraId="71F8F4D2" w14:textId="77777777" w:rsidTr="715C5E64">
        <w:tc>
          <w:tcPr>
            <w:tcW w:w="9819" w:type="dxa"/>
            <w:tcBorders>
              <w:top w:val="single" w:sz="4" w:space="0" w:color="999999"/>
              <w:left w:val="single" w:sz="4" w:space="0" w:color="999999"/>
              <w:bottom w:val="single" w:sz="4" w:space="0" w:color="999999"/>
              <w:right w:val="single" w:sz="4" w:space="0" w:color="999999"/>
            </w:tcBorders>
          </w:tcPr>
          <w:p w14:paraId="4BA98E30" w14:textId="77777777" w:rsidR="00177F15" w:rsidRPr="00BA6628" w:rsidRDefault="00177F15" w:rsidP="0090656C">
            <w:pPr>
              <w:pStyle w:val="BodyText"/>
              <w:jc w:val="both"/>
              <w:rPr>
                <w:b/>
                <w:bCs/>
              </w:rPr>
            </w:pPr>
          </w:p>
          <w:p w14:paraId="42C0B49C" w14:textId="77777777" w:rsidR="00177F15" w:rsidRPr="00BA6628" w:rsidRDefault="00177F15" w:rsidP="678B48CC">
            <w:pPr>
              <w:pStyle w:val="ListParagraph"/>
              <w:numPr>
                <w:ilvl w:val="1"/>
                <w:numId w:val="3"/>
              </w:numPr>
              <w:rPr>
                <w:rFonts w:cs="Arial"/>
                <w:b/>
                <w:bCs/>
                <w:color w:val="339966"/>
                <w:sz w:val="22"/>
                <w:szCs w:val="22"/>
              </w:rPr>
            </w:pPr>
            <w:r w:rsidRPr="678B48CC">
              <w:rPr>
                <w:rFonts w:cs="Arial"/>
                <w:b/>
                <w:bCs/>
                <w:color w:val="339966"/>
                <w:sz w:val="22"/>
                <w:szCs w:val="22"/>
              </w:rPr>
              <w:t>National/local context and evidence base</w:t>
            </w:r>
          </w:p>
          <w:p w14:paraId="75DD9119" w14:textId="77777777" w:rsidR="00875C71" w:rsidRPr="00BA6628" w:rsidRDefault="00875C71" w:rsidP="00875C71">
            <w:pPr>
              <w:rPr>
                <w:rFonts w:cs="Arial"/>
                <w:b/>
                <w:bCs/>
                <w:color w:val="339966"/>
                <w:sz w:val="22"/>
                <w:szCs w:val="22"/>
              </w:rPr>
            </w:pPr>
          </w:p>
          <w:p w14:paraId="43BCD345" w14:textId="2E853608" w:rsidR="00B23E6F" w:rsidRPr="00BA6628" w:rsidRDefault="0098205D" w:rsidP="12AB9A3A">
            <w:pPr>
              <w:rPr>
                <w:sz w:val="22"/>
                <w:szCs w:val="22"/>
                <w:lang w:eastAsia="en-GB"/>
              </w:rPr>
            </w:pPr>
            <w:r w:rsidRPr="12AB9A3A">
              <w:rPr>
                <w:rFonts w:cs="Arial"/>
                <w:b/>
                <w:bCs/>
                <w:sz w:val="22"/>
                <w:szCs w:val="22"/>
              </w:rPr>
              <w:t>National Context:</w:t>
            </w:r>
            <w:r w:rsidR="00ED2D80" w:rsidRPr="12AB9A3A">
              <w:rPr>
                <w:rFonts w:cs="Arial"/>
                <w:b/>
                <w:bCs/>
                <w:sz w:val="22"/>
                <w:szCs w:val="22"/>
              </w:rPr>
              <w:t xml:space="preserve"> </w:t>
            </w:r>
            <w:r w:rsidR="00B23E6F" w:rsidRPr="12AB9A3A">
              <w:rPr>
                <w:sz w:val="22"/>
                <w:szCs w:val="22"/>
              </w:rPr>
              <w:t>Vitamin D is important as it helps regulate the amount of calcium and phosphate in the body, which is needed for healthy bones and muscles</w:t>
            </w:r>
            <w:r w:rsidR="647F81AB" w:rsidRPr="12AB9A3A">
              <w:rPr>
                <w:sz w:val="22"/>
                <w:szCs w:val="22"/>
              </w:rPr>
              <w:t>, and for supporting immunity</w:t>
            </w:r>
            <w:r w:rsidR="00B23E6F" w:rsidRPr="12AB9A3A">
              <w:rPr>
                <w:sz w:val="22"/>
                <w:szCs w:val="22"/>
              </w:rPr>
              <w:t xml:space="preserve">. </w:t>
            </w:r>
            <w:r w:rsidR="2DCD3769" w:rsidRPr="12AB9A3A">
              <w:rPr>
                <w:rFonts w:cs="Arial"/>
                <w:color w:val="0B0C0C"/>
                <w:sz w:val="22"/>
                <w:szCs w:val="22"/>
                <w:lang w:eastAsia="en-GB"/>
              </w:rPr>
              <w:t xml:space="preserve">Too little vitamin D can lead to bone problems such as rickets in children, and bone pain and muscle weakness in adults; this may also increase the risk of falls in older people. </w:t>
            </w:r>
            <w:r w:rsidR="2DCD3769" w:rsidRPr="12AB9A3A">
              <w:rPr>
                <w:sz w:val="22"/>
                <w:szCs w:val="22"/>
              </w:rPr>
              <w:t>While we</w:t>
            </w:r>
            <w:r w:rsidR="30585D47" w:rsidRPr="12AB9A3A">
              <w:rPr>
                <w:sz w:val="22"/>
                <w:szCs w:val="22"/>
              </w:rPr>
              <w:t xml:space="preserve"> do</w:t>
            </w:r>
            <w:r w:rsidR="2DCD3769" w:rsidRPr="12AB9A3A">
              <w:rPr>
                <w:sz w:val="22"/>
                <w:szCs w:val="22"/>
              </w:rPr>
              <w:t xml:space="preserve"> get some vitamin D from our diet, the main source is sunlight exposure on the skin. During autumn and winter in the UK, UV levels from the sun are not sufficient making vitamin D in th</w:t>
            </w:r>
            <w:r w:rsidR="25018B8B" w:rsidRPr="12AB9A3A">
              <w:rPr>
                <w:sz w:val="22"/>
                <w:szCs w:val="22"/>
              </w:rPr>
              <w:t>is way</w:t>
            </w:r>
            <w:r w:rsidR="2DCD3769" w:rsidRPr="12AB9A3A">
              <w:rPr>
                <w:sz w:val="22"/>
                <w:szCs w:val="22"/>
              </w:rPr>
              <w:t>.</w:t>
            </w:r>
          </w:p>
          <w:p w14:paraId="46F35D73" w14:textId="4AA11A2D" w:rsidR="00B23E6F" w:rsidRPr="00BA6628" w:rsidRDefault="00B23E6F" w:rsidP="4FDFFDCF">
            <w:pPr>
              <w:rPr>
                <w:sz w:val="22"/>
                <w:szCs w:val="22"/>
              </w:rPr>
            </w:pPr>
          </w:p>
          <w:p w14:paraId="399DC646" w14:textId="514159D8" w:rsidR="00B23E6F" w:rsidRPr="00BA6628" w:rsidRDefault="00FE5CF1" w:rsidP="4FDFFDCF">
            <w:pPr>
              <w:rPr>
                <w:rFonts w:cs="Arial"/>
                <w:color w:val="0B0C0C"/>
                <w:sz w:val="22"/>
                <w:szCs w:val="22"/>
                <w:lang w:eastAsia="en-GB"/>
              </w:rPr>
            </w:pPr>
            <w:hyperlink r:id="rId11">
              <w:r w:rsidRPr="4FDFFDCF">
                <w:rPr>
                  <w:rStyle w:val="Hyperlink"/>
                  <w:sz w:val="22"/>
                  <w:szCs w:val="22"/>
                </w:rPr>
                <w:t>According to NICE</w:t>
              </w:r>
            </w:hyperlink>
            <w:r w:rsidRPr="4FDFFDCF">
              <w:rPr>
                <w:rFonts w:cs="Arial"/>
                <w:sz w:val="22"/>
                <w:szCs w:val="22"/>
              </w:rPr>
              <w:t xml:space="preserve">, </w:t>
            </w:r>
            <w:r w:rsidR="0E343779" w:rsidRPr="4FDFFDCF">
              <w:rPr>
                <w:rFonts w:cs="Arial"/>
                <w:sz w:val="22"/>
                <w:szCs w:val="22"/>
              </w:rPr>
              <w:t xml:space="preserve">nearly </w:t>
            </w:r>
            <w:r w:rsidRPr="4FDFFDCF">
              <w:rPr>
                <w:rFonts w:cs="Arial"/>
                <w:sz w:val="22"/>
                <w:szCs w:val="22"/>
              </w:rPr>
              <w:t>a quarter of people aged 19 to 64 years and 21% aged 65 years and over are vitamin D deficient. In the winter, this increases to 29.3% of those 65 years and over, and 40% 19–64 years</w:t>
            </w:r>
            <w:r w:rsidR="1259FD77" w:rsidRPr="4FDFFDCF">
              <w:rPr>
                <w:rFonts w:cs="Arial"/>
                <w:sz w:val="22"/>
                <w:szCs w:val="22"/>
              </w:rPr>
              <w:t>. NICE therefore recommends that all adults should consider taking a daily vitamin D supplement, particularly in the autumn and winter months.</w:t>
            </w:r>
            <w:r w:rsidRPr="4FDFFDCF">
              <w:rPr>
                <w:rFonts w:cs="Arial"/>
                <w:sz w:val="22"/>
                <w:szCs w:val="22"/>
              </w:rPr>
              <w:t xml:space="preserve">  A survey commissioned by the </w:t>
            </w:r>
            <w:hyperlink r:id="rId12" w:anchor=":~:text=The%20National%20Diet%20and%20Nutrition,vitamin%20D%20in%20their%20blood.">
              <w:r w:rsidRPr="4FDFFDCF">
                <w:rPr>
                  <w:rFonts w:cs="Arial"/>
                  <w:color w:val="0070C0"/>
                  <w:sz w:val="22"/>
                  <w:szCs w:val="22"/>
                  <w:u w:val="single"/>
                </w:rPr>
                <w:t>British Nutrition Foundation</w:t>
              </w:r>
            </w:hyperlink>
            <w:r w:rsidRPr="4FDFFDCF">
              <w:rPr>
                <w:rFonts w:cs="Arial"/>
                <w:sz w:val="22"/>
                <w:szCs w:val="22"/>
              </w:rPr>
              <w:t> revealed that almost half of British adults (49%)</w:t>
            </w:r>
            <w:r w:rsidRPr="4FDFFDCF">
              <w:rPr>
                <w:rFonts w:cs="Arial"/>
                <w:b/>
                <w:bCs/>
                <w:sz w:val="22"/>
                <w:szCs w:val="22"/>
              </w:rPr>
              <w:t> </w:t>
            </w:r>
            <w:r w:rsidRPr="4FDFFDCF">
              <w:rPr>
                <w:rFonts w:cs="Arial"/>
                <w:sz w:val="22"/>
                <w:szCs w:val="22"/>
              </w:rPr>
              <w:t xml:space="preserve">are not aware of this advice. </w:t>
            </w:r>
          </w:p>
          <w:p w14:paraId="42F777BC" w14:textId="77777777" w:rsidR="00E4254A" w:rsidRPr="00BA6628" w:rsidRDefault="00E4254A" w:rsidP="0090656C">
            <w:pPr>
              <w:rPr>
                <w:rFonts w:cs="Arial"/>
                <w:bCs/>
                <w:sz w:val="22"/>
                <w:szCs w:val="22"/>
              </w:rPr>
            </w:pPr>
          </w:p>
          <w:p w14:paraId="2AB93F7D" w14:textId="6A555EA6" w:rsidR="0098205D" w:rsidRPr="003C1C45" w:rsidRDefault="0098205D" w:rsidP="0090656C">
            <w:pPr>
              <w:rPr>
                <w:sz w:val="22"/>
                <w:szCs w:val="22"/>
              </w:rPr>
            </w:pPr>
            <w:r w:rsidRPr="12AB9A3A">
              <w:rPr>
                <w:rFonts w:cs="Arial"/>
                <w:b/>
                <w:bCs/>
                <w:sz w:val="22"/>
                <w:szCs w:val="22"/>
              </w:rPr>
              <w:t>Local Context:</w:t>
            </w:r>
            <w:r w:rsidR="00B23E6F" w:rsidRPr="12AB9A3A">
              <w:rPr>
                <w:sz w:val="22"/>
                <w:szCs w:val="22"/>
              </w:rPr>
              <w:t xml:space="preserve"> </w:t>
            </w:r>
            <w:r w:rsidR="00303312" w:rsidRPr="12AB9A3A">
              <w:rPr>
                <w:sz w:val="22"/>
                <w:szCs w:val="22"/>
              </w:rPr>
              <w:t xml:space="preserve">During the winter, </w:t>
            </w:r>
            <w:r w:rsidR="00EF7A39" w:rsidRPr="12AB9A3A">
              <w:rPr>
                <w:sz w:val="22"/>
                <w:szCs w:val="22"/>
              </w:rPr>
              <w:t xml:space="preserve">St Helens </w:t>
            </w:r>
            <w:r w:rsidR="00D837E5" w:rsidRPr="12AB9A3A">
              <w:rPr>
                <w:sz w:val="22"/>
                <w:szCs w:val="22"/>
              </w:rPr>
              <w:t>has provid</w:t>
            </w:r>
            <w:r w:rsidR="003D69C7" w:rsidRPr="12AB9A3A">
              <w:rPr>
                <w:sz w:val="22"/>
                <w:szCs w:val="22"/>
              </w:rPr>
              <w:t>ed</w:t>
            </w:r>
            <w:r w:rsidR="00D837E5" w:rsidRPr="12AB9A3A">
              <w:rPr>
                <w:sz w:val="22"/>
                <w:szCs w:val="22"/>
              </w:rPr>
              <w:t xml:space="preserve"> </w:t>
            </w:r>
            <w:r w:rsidR="003D69C7" w:rsidRPr="12AB9A3A">
              <w:rPr>
                <w:sz w:val="22"/>
                <w:szCs w:val="22"/>
              </w:rPr>
              <w:t>vouchers</w:t>
            </w:r>
            <w:r w:rsidR="00303312" w:rsidRPr="12AB9A3A">
              <w:rPr>
                <w:sz w:val="22"/>
                <w:szCs w:val="22"/>
              </w:rPr>
              <w:t>,</w:t>
            </w:r>
            <w:r w:rsidR="003D69C7" w:rsidRPr="12AB9A3A">
              <w:rPr>
                <w:sz w:val="22"/>
                <w:szCs w:val="22"/>
              </w:rPr>
              <w:t xml:space="preserve"> </w:t>
            </w:r>
            <w:r w:rsidR="009A5C6C" w:rsidRPr="12AB9A3A">
              <w:rPr>
                <w:sz w:val="22"/>
                <w:szCs w:val="22"/>
              </w:rPr>
              <w:t xml:space="preserve">as part </w:t>
            </w:r>
            <w:r w:rsidR="004518D5" w:rsidRPr="12AB9A3A">
              <w:rPr>
                <w:sz w:val="22"/>
                <w:szCs w:val="22"/>
              </w:rPr>
              <w:t>of</w:t>
            </w:r>
            <w:r w:rsidR="009A5C6C" w:rsidRPr="12AB9A3A">
              <w:rPr>
                <w:sz w:val="22"/>
                <w:szCs w:val="22"/>
              </w:rPr>
              <w:t xml:space="preserve"> the winter well packs</w:t>
            </w:r>
            <w:r w:rsidR="00303312" w:rsidRPr="12AB9A3A">
              <w:rPr>
                <w:sz w:val="22"/>
                <w:szCs w:val="22"/>
              </w:rPr>
              <w:t>,</w:t>
            </w:r>
            <w:r w:rsidR="009A5C6C" w:rsidRPr="12AB9A3A">
              <w:rPr>
                <w:sz w:val="22"/>
                <w:szCs w:val="22"/>
              </w:rPr>
              <w:t xml:space="preserve"> for </w:t>
            </w:r>
            <w:r w:rsidR="00D837E5" w:rsidRPr="12AB9A3A">
              <w:rPr>
                <w:sz w:val="22"/>
                <w:szCs w:val="22"/>
              </w:rPr>
              <w:t>free vit</w:t>
            </w:r>
            <w:r w:rsidR="00816075" w:rsidRPr="12AB9A3A">
              <w:rPr>
                <w:sz w:val="22"/>
                <w:szCs w:val="22"/>
              </w:rPr>
              <w:t>amin D</w:t>
            </w:r>
            <w:r w:rsidR="00833BCD" w:rsidRPr="12AB9A3A">
              <w:rPr>
                <w:sz w:val="22"/>
                <w:szCs w:val="22"/>
              </w:rPr>
              <w:t xml:space="preserve"> supplements for</w:t>
            </w:r>
            <w:r w:rsidR="00816075" w:rsidRPr="12AB9A3A">
              <w:rPr>
                <w:sz w:val="22"/>
                <w:szCs w:val="22"/>
              </w:rPr>
              <w:t xml:space="preserve"> </w:t>
            </w:r>
            <w:r w:rsidR="00827F1E" w:rsidRPr="12AB9A3A">
              <w:rPr>
                <w:sz w:val="22"/>
                <w:szCs w:val="22"/>
              </w:rPr>
              <w:t>residents</w:t>
            </w:r>
            <w:r w:rsidR="00816075" w:rsidRPr="12AB9A3A">
              <w:rPr>
                <w:sz w:val="22"/>
                <w:szCs w:val="22"/>
              </w:rPr>
              <w:t xml:space="preserve"> who </w:t>
            </w:r>
            <w:r w:rsidR="00827F1E" w:rsidRPr="12AB9A3A">
              <w:rPr>
                <w:sz w:val="22"/>
                <w:szCs w:val="22"/>
              </w:rPr>
              <w:t>are most</w:t>
            </w:r>
            <w:r w:rsidR="00816075" w:rsidRPr="12AB9A3A">
              <w:rPr>
                <w:sz w:val="22"/>
                <w:szCs w:val="22"/>
              </w:rPr>
              <w:t xml:space="preserve"> vulnerable</w:t>
            </w:r>
            <w:r w:rsidR="000A6098" w:rsidRPr="12AB9A3A">
              <w:rPr>
                <w:sz w:val="22"/>
                <w:szCs w:val="22"/>
              </w:rPr>
              <w:t>.</w:t>
            </w:r>
            <w:r w:rsidR="5C2DA6BD" w:rsidRPr="12AB9A3A">
              <w:rPr>
                <w:sz w:val="22"/>
                <w:szCs w:val="22"/>
              </w:rPr>
              <w:t xml:space="preserve"> Over the last couple of years that this has run, uptake has increased, which is positive, and something that we would like to build upon.</w:t>
            </w:r>
            <w:r w:rsidR="000A6098" w:rsidRPr="12AB9A3A">
              <w:rPr>
                <w:sz w:val="22"/>
                <w:szCs w:val="22"/>
              </w:rPr>
              <w:t xml:space="preserve"> </w:t>
            </w:r>
            <w:r w:rsidR="005D066F" w:rsidRPr="12AB9A3A">
              <w:rPr>
                <w:sz w:val="22"/>
                <w:szCs w:val="22"/>
              </w:rPr>
              <w:t xml:space="preserve">We are not </w:t>
            </w:r>
            <w:r w:rsidR="003B2825" w:rsidRPr="12AB9A3A">
              <w:rPr>
                <w:sz w:val="22"/>
                <w:szCs w:val="22"/>
              </w:rPr>
              <w:t xml:space="preserve">aware of </w:t>
            </w:r>
            <w:r w:rsidR="00B23E6F" w:rsidRPr="12AB9A3A">
              <w:rPr>
                <w:sz w:val="22"/>
                <w:szCs w:val="22"/>
              </w:rPr>
              <w:t>other area</w:t>
            </w:r>
            <w:r w:rsidR="008503C4" w:rsidRPr="12AB9A3A">
              <w:rPr>
                <w:sz w:val="22"/>
                <w:szCs w:val="22"/>
              </w:rPr>
              <w:t xml:space="preserve">s that have </w:t>
            </w:r>
            <w:r w:rsidR="00B23E6F" w:rsidRPr="12AB9A3A">
              <w:rPr>
                <w:sz w:val="22"/>
                <w:szCs w:val="22"/>
              </w:rPr>
              <w:t xml:space="preserve">supplied vitamin D vouchers </w:t>
            </w:r>
            <w:r w:rsidR="008503C4" w:rsidRPr="12AB9A3A">
              <w:rPr>
                <w:sz w:val="22"/>
                <w:szCs w:val="22"/>
              </w:rPr>
              <w:t xml:space="preserve">outside the </w:t>
            </w:r>
            <w:r w:rsidR="00B23E6F" w:rsidRPr="12AB9A3A">
              <w:rPr>
                <w:sz w:val="22"/>
                <w:szCs w:val="22"/>
              </w:rPr>
              <w:t>healthy start programme</w:t>
            </w:r>
            <w:r w:rsidR="1A322242" w:rsidRPr="12AB9A3A">
              <w:rPr>
                <w:sz w:val="22"/>
                <w:szCs w:val="22"/>
              </w:rPr>
              <w:t xml:space="preserve">, </w:t>
            </w:r>
            <w:r w:rsidR="66906713" w:rsidRPr="12AB9A3A">
              <w:rPr>
                <w:sz w:val="22"/>
                <w:szCs w:val="22"/>
              </w:rPr>
              <w:t xml:space="preserve">while </w:t>
            </w:r>
            <w:r w:rsidR="1A322242" w:rsidRPr="12AB9A3A">
              <w:rPr>
                <w:sz w:val="22"/>
                <w:szCs w:val="22"/>
              </w:rPr>
              <w:t>other local authority areas have expressed an interest in learning from our e</w:t>
            </w:r>
            <w:r w:rsidR="0E82C645" w:rsidRPr="12AB9A3A">
              <w:rPr>
                <w:sz w:val="22"/>
                <w:szCs w:val="22"/>
              </w:rPr>
              <w:t>xperiences</w:t>
            </w:r>
            <w:r w:rsidR="00CE42DF" w:rsidRPr="12AB9A3A">
              <w:rPr>
                <w:sz w:val="22"/>
                <w:szCs w:val="22"/>
              </w:rPr>
              <w:t xml:space="preserve">. </w:t>
            </w:r>
            <w:r w:rsidR="001F6759" w:rsidRPr="12AB9A3A">
              <w:rPr>
                <w:sz w:val="22"/>
                <w:szCs w:val="22"/>
              </w:rPr>
              <w:t>V</w:t>
            </w:r>
            <w:r w:rsidR="00B23E6F" w:rsidRPr="12AB9A3A">
              <w:rPr>
                <w:sz w:val="22"/>
                <w:szCs w:val="22"/>
              </w:rPr>
              <w:t>itamin D is fat soluble</w:t>
            </w:r>
            <w:r w:rsidR="001F6759" w:rsidRPr="12AB9A3A">
              <w:rPr>
                <w:sz w:val="22"/>
                <w:szCs w:val="22"/>
              </w:rPr>
              <w:t xml:space="preserve"> and</w:t>
            </w:r>
            <w:r w:rsidR="00B23E6F" w:rsidRPr="12AB9A3A">
              <w:rPr>
                <w:sz w:val="22"/>
                <w:szCs w:val="22"/>
              </w:rPr>
              <w:t xml:space="preserve"> there is the potential to overdose or have side effects </w:t>
            </w:r>
            <w:r w:rsidR="00583A30" w:rsidRPr="12AB9A3A">
              <w:rPr>
                <w:sz w:val="22"/>
                <w:szCs w:val="22"/>
              </w:rPr>
              <w:t xml:space="preserve">which means that </w:t>
            </w:r>
            <w:r w:rsidR="00B23E6F" w:rsidRPr="12AB9A3A">
              <w:rPr>
                <w:sz w:val="22"/>
                <w:szCs w:val="22"/>
              </w:rPr>
              <w:t xml:space="preserve">the benefits </w:t>
            </w:r>
            <w:r w:rsidR="00583A30" w:rsidRPr="12AB9A3A">
              <w:rPr>
                <w:sz w:val="22"/>
                <w:szCs w:val="22"/>
              </w:rPr>
              <w:t xml:space="preserve">can </w:t>
            </w:r>
            <w:r w:rsidR="00B23E6F" w:rsidRPr="12AB9A3A">
              <w:rPr>
                <w:sz w:val="22"/>
                <w:szCs w:val="22"/>
              </w:rPr>
              <w:t>out</w:t>
            </w:r>
            <w:r w:rsidR="00694BB0" w:rsidRPr="12AB9A3A">
              <w:rPr>
                <w:sz w:val="22"/>
                <w:szCs w:val="22"/>
              </w:rPr>
              <w:t>weigh</w:t>
            </w:r>
            <w:r w:rsidR="00B23E6F" w:rsidRPr="12AB9A3A">
              <w:rPr>
                <w:sz w:val="22"/>
                <w:szCs w:val="22"/>
              </w:rPr>
              <w:t xml:space="preserve"> the risks. </w:t>
            </w:r>
            <w:r w:rsidR="00CA1381" w:rsidRPr="12AB9A3A">
              <w:rPr>
                <w:sz w:val="22"/>
                <w:szCs w:val="22"/>
              </w:rPr>
              <w:t xml:space="preserve">Pharmacy staff </w:t>
            </w:r>
            <w:r w:rsidR="0001498A" w:rsidRPr="12AB9A3A">
              <w:rPr>
                <w:sz w:val="22"/>
                <w:szCs w:val="22"/>
              </w:rPr>
              <w:t xml:space="preserve">will </w:t>
            </w:r>
            <w:r w:rsidR="00813C89" w:rsidRPr="12AB9A3A">
              <w:rPr>
                <w:sz w:val="22"/>
                <w:szCs w:val="22"/>
              </w:rPr>
              <w:t xml:space="preserve">have a conversation </w:t>
            </w:r>
            <w:r w:rsidR="0001498A" w:rsidRPr="12AB9A3A">
              <w:rPr>
                <w:sz w:val="22"/>
                <w:szCs w:val="22"/>
              </w:rPr>
              <w:t xml:space="preserve">with recipients of </w:t>
            </w:r>
            <w:r w:rsidR="00813C89" w:rsidRPr="12AB9A3A">
              <w:rPr>
                <w:sz w:val="22"/>
                <w:szCs w:val="22"/>
              </w:rPr>
              <w:t xml:space="preserve">the </w:t>
            </w:r>
            <w:r w:rsidR="0001498A" w:rsidRPr="12AB9A3A">
              <w:rPr>
                <w:sz w:val="22"/>
                <w:szCs w:val="22"/>
              </w:rPr>
              <w:t xml:space="preserve">free vitamin D </w:t>
            </w:r>
            <w:r w:rsidR="00813C89" w:rsidRPr="12AB9A3A">
              <w:rPr>
                <w:sz w:val="22"/>
                <w:szCs w:val="22"/>
              </w:rPr>
              <w:t>t</w:t>
            </w:r>
            <w:r w:rsidR="0001498A" w:rsidRPr="12AB9A3A">
              <w:rPr>
                <w:sz w:val="22"/>
                <w:szCs w:val="22"/>
              </w:rPr>
              <w:t xml:space="preserve">o ensure </w:t>
            </w:r>
            <w:r w:rsidR="00B23E6F" w:rsidRPr="12AB9A3A">
              <w:rPr>
                <w:sz w:val="22"/>
                <w:szCs w:val="22"/>
              </w:rPr>
              <w:t>p</w:t>
            </w:r>
            <w:r w:rsidR="00813C89" w:rsidRPr="12AB9A3A">
              <w:rPr>
                <w:sz w:val="22"/>
                <w:szCs w:val="22"/>
              </w:rPr>
              <w:t xml:space="preserve">eople understand how to take </w:t>
            </w:r>
            <w:r w:rsidR="00024B01" w:rsidRPr="12AB9A3A">
              <w:rPr>
                <w:sz w:val="22"/>
                <w:szCs w:val="22"/>
              </w:rPr>
              <w:t>vitamins safely and p</w:t>
            </w:r>
            <w:r w:rsidR="00B23E6F" w:rsidRPr="12AB9A3A">
              <w:rPr>
                <w:sz w:val="22"/>
                <w:szCs w:val="22"/>
              </w:rPr>
              <w:t xml:space="preserve">rovide </w:t>
            </w:r>
            <w:r w:rsidR="00B0692A" w:rsidRPr="12AB9A3A">
              <w:rPr>
                <w:sz w:val="22"/>
                <w:szCs w:val="22"/>
              </w:rPr>
              <w:t>the service locally in a safe manner</w:t>
            </w:r>
            <w:r w:rsidR="00024B01" w:rsidRPr="12AB9A3A">
              <w:rPr>
                <w:sz w:val="22"/>
                <w:szCs w:val="22"/>
              </w:rPr>
              <w:t>.</w:t>
            </w:r>
          </w:p>
          <w:p w14:paraId="746F6EC2" w14:textId="77777777" w:rsidR="00177F15" w:rsidRPr="00BA6628" w:rsidRDefault="00177F15" w:rsidP="003B4312">
            <w:pPr>
              <w:rPr>
                <w:rFonts w:cs="Arial"/>
                <w:b/>
                <w:bCs/>
                <w:sz w:val="22"/>
                <w:szCs w:val="22"/>
              </w:rPr>
            </w:pPr>
          </w:p>
        </w:tc>
      </w:tr>
      <w:tr w:rsidR="00177F15" w:rsidRPr="0013491C" w14:paraId="34456023"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666666"/>
          </w:tcPr>
          <w:p w14:paraId="76D50F4D" w14:textId="77777777" w:rsidR="00177F15" w:rsidRPr="00BA6628" w:rsidRDefault="00177F15" w:rsidP="0090656C">
            <w:pPr>
              <w:pStyle w:val="BodyText"/>
              <w:jc w:val="both"/>
              <w:rPr>
                <w:color w:val="FFFFFF"/>
              </w:rPr>
            </w:pPr>
          </w:p>
          <w:p w14:paraId="66B8F648" w14:textId="77777777" w:rsidR="00177F15" w:rsidRPr="00BA6628" w:rsidRDefault="00177F15" w:rsidP="0090656C">
            <w:pPr>
              <w:pStyle w:val="BodyText"/>
              <w:jc w:val="both"/>
              <w:rPr>
                <w:color w:val="FFFFFF" w:themeColor="background1"/>
              </w:rPr>
            </w:pPr>
            <w:r w:rsidRPr="00BA6628">
              <w:rPr>
                <w:color w:val="FFFFFF" w:themeColor="background1"/>
              </w:rPr>
              <w:t>2. Key Service Outcomes</w:t>
            </w:r>
          </w:p>
          <w:p w14:paraId="60CD04FE" w14:textId="77777777" w:rsidR="00177F15" w:rsidRPr="00BA6628" w:rsidRDefault="00177F15" w:rsidP="0090656C">
            <w:pPr>
              <w:pStyle w:val="BodyText"/>
              <w:jc w:val="both"/>
              <w:rPr>
                <w:color w:val="FFFFFF"/>
                <w:u w:val="single"/>
              </w:rPr>
            </w:pPr>
          </w:p>
        </w:tc>
      </w:tr>
      <w:tr w:rsidR="00177F15" w:rsidRPr="0013491C" w14:paraId="2109D99D" w14:textId="77777777" w:rsidTr="715C5E64">
        <w:tc>
          <w:tcPr>
            <w:tcW w:w="9819" w:type="dxa"/>
            <w:tcBorders>
              <w:top w:val="single" w:sz="4" w:space="0" w:color="999999"/>
              <w:left w:val="single" w:sz="4" w:space="0" w:color="999999"/>
              <w:bottom w:val="single" w:sz="4" w:space="0" w:color="999999"/>
              <w:right w:val="single" w:sz="4" w:space="0" w:color="999999"/>
            </w:tcBorders>
          </w:tcPr>
          <w:p w14:paraId="00D705B2" w14:textId="5D391F0A" w:rsidR="00CF68A7" w:rsidRPr="00BA6628" w:rsidRDefault="00141B96">
            <w:pPr>
              <w:pStyle w:val="ListParagraph"/>
              <w:numPr>
                <w:ilvl w:val="1"/>
                <w:numId w:val="10"/>
              </w:numPr>
              <w:spacing w:after="120"/>
              <w:rPr>
                <w:rFonts w:cs="Arial"/>
                <w:bCs/>
                <w:sz w:val="22"/>
                <w:szCs w:val="22"/>
              </w:rPr>
            </w:pPr>
            <w:r w:rsidRPr="00BA6628">
              <w:rPr>
                <w:rFonts w:cs="Arial"/>
                <w:bCs/>
                <w:sz w:val="22"/>
                <w:szCs w:val="22"/>
              </w:rPr>
              <w:t xml:space="preserve">Increased </w:t>
            </w:r>
            <w:r w:rsidRPr="00BA6628">
              <w:rPr>
                <w:rFonts w:cs="Arial"/>
                <w:sz w:val="22"/>
                <w:szCs w:val="22"/>
              </w:rPr>
              <w:t xml:space="preserve">access </w:t>
            </w:r>
            <w:r w:rsidR="00B23E6F" w:rsidRPr="00BA6628">
              <w:rPr>
                <w:rFonts w:cs="Arial"/>
                <w:sz w:val="22"/>
                <w:szCs w:val="22"/>
              </w:rPr>
              <w:t>to vitamin D for some of the most vulnerable people in St Helens</w:t>
            </w:r>
          </w:p>
          <w:p w14:paraId="54022FA4" w14:textId="39A1118E" w:rsidR="00875C71" w:rsidRPr="00BA6628" w:rsidRDefault="00141B96">
            <w:pPr>
              <w:pStyle w:val="ListParagraph"/>
              <w:numPr>
                <w:ilvl w:val="1"/>
                <w:numId w:val="10"/>
              </w:numPr>
              <w:spacing w:after="120"/>
              <w:rPr>
                <w:rFonts w:cs="Arial"/>
                <w:bCs/>
                <w:sz w:val="22"/>
                <w:szCs w:val="22"/>
              </w:rPr>
            </w:pPr>
            <w:r w:rsidRPr="00BA6628">
              <w:rPr>
                <w:rFonts w:cs="Arial"/>
                <w:bCs/>
                <w:sz w:val="22"/>
                <w:szCs w:val="22"/>
              </w:rPr>
              <w:t xml:space="preserve">Increased numbers of people </w:t>
            </w:r>
            <w:r w:rsidR="00B23E6F" w:rsidRPr="00BA6628">
              <w:rPr>
                <w:rFonts w:cs="Arial"/>
                <w:bCs/>
                <w:sz w:val="22"/>
                <w:szCs w:val="22"/>
              </w:rPr>
              <w:t>taking vitamin D</w:t>
            </w:r>
            <w:r w:rsidR="001B2433" w:rsidRPr="00BA6628">
              <w:rPr>
                <w:rFonts w:cs="Arial"/>
                <w:bCs/>
                <w:sz w:val="22"/>
                <w:szCs w:val="22"/>
              </w:rPr>
              <w:t xml:space="preserve"> in St Helens.</w:t>
            </w:r>
          </w:p>
          <w:p w14:paraId="72EA8656" w14:textId="0F110217" w:rsidR="00875C71" w:rsidRPr="00BA6628" w:rsidRDefault="00B23E6F">
            <w:pPr>
              <w:pStyle w:val="ListParagraph"/>
              <w:numPr>
                <w:ilvl w:val="1"/>
                <w:numId w:val="10"/>
              </w:numPr>
              <w:spacing w:after="120"/>
              <w:rPr>
                <w:rFonts w:cs="Arial"/>
                <w:bCs/>
                <w:sz w:val="22"/>
                <w:szCs w:val="22"/>
              </w:rPr>
            </w:pPr>
            <w:r w:rsidRPr="00BA6628">
              <w:rPr>
                <w:rFonts w:cs="Arial"/>
                <w:bCs/>
                <w:sz w:val="22"/>
                <w:szCs w:val="22"/>
              </w:rPr>
              <w:t xml:space="preserve">Improving winter wellbeing </w:t>
            </w:r>
            <w:r w:rsidR="00875C71" w:rsidRPr="00BA6628">
              <w:rPr>
                <w:rFonts w:cs="Arial"/>
                <w:bCs/>
                <w:sz w:val="22"/>
                <w:szCs w:val="22"/>
              </w:rPr>
              <w:t>of people in St Helens</w:t>
            </w:r>
          </w:p>
          <w:p w14:paraId="2A307BCB" w14:textId="422DA05D" w:rsidR="00CF68A7" w:rsidRPr="00BA6628" w:rsidRDefault="00B23E6F">
            <w:pPr>
              <w:pStyle w:val="ListParagraph"/>
              <w:numPr>
                <w:ilvl w:val="1"/>
                <w:numId w:val="10"/>
              </w:numPr>
              <w:spacing w:after="120"/>
              <w:rPr>
                <w:rFonts w:cs="Arial"/>
                <w:bCs/>
                <w:sz w:val="22"/>
                <w:szCs w:val="22"/>
              </w:rPr>
            </w:pPr>
            <w:r w:rsidRPr="00BA6628">
              <w:rPr>
                <w:rFonts w:cs="Arial"/>
                <w:bCs/>
                <w:sz w:val="22"/>
                <w:szCs w:val="22"/>
              </w:rPr>
              <w:t>Advocating for all people to take vitamin D if it is safe for them to do so</w:t>
            </w:r>
          </w:p>
        </w:tc>
      </w:tr>
      <w:tr w:rsidR="00177F15" w:rsidRPr="0013491C" w14:paraId="366E7A52"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666666"/>
          </w:tcPr>
          <w:p w14:paraId="11EE1EB9" w14:textId="77777777" w:rsidR="00177F15" w:rsidRPr="00BA6628" w:rsidRDefault="00177F15" w:rsidP="0090656C">
            <w:pPr>
              <w:pStyle w:val="BodyText"/>
              <w:jc w:val="both"/>
              <w:rPr>
                <w:color w:val="FFFFFF"/>
                <w:u w:val="single"/>
              </w:rPr>
            </w:pPr>
          </w:p>
          <w:p w14:paraId="771D6C01" w14:textId="77777777" w:rsidR="00177F15" w:rsidRPr="00BA6628" w:rsidRDefault="00177F15" w:rsidP="0090656C">
            <w:pPr>
              <w:pStyle w:val="BodyText"/>
              <w:jc w:val="both"/>
              <w:rPr>
                <w:color w:val="FFFFFF" w:themeColor="background1"/>
              </w:rPr>
            </w:pPr>
            <w:r w:rsidRPr="00BA6628">
              <w:rPr>
                <w:color w:val="FFFFFF" w:themeColor="background1"/>
              </w:rPr>
              <w:t>3. Scope</w:t>
            </w:r>
            <w:r w:rsidRPr="00BA6628" w:rsidDel="00090017">
              <w:rPr>
                <w:color w:val="FFFFFF" w:themeColor="background1"/>
              </w:rPr>
              <w:t xml:space="preserve"> </w:t>
            </w:r>
          </w:p>
          <w:p w14:paraId="3EC56989" w14:textId="77777777" w:rsidR="00177F15" w:rsidRPr="00BA6628" w:rsidRDefault="00177F15" w:rsidP="0090656C">
            <w:pPr>
              <w:pStyle w:val="BodyText"/>
              <w:jc w:val="both"/>
              <w:rPr>
                <w:color w:val="FFFFFF"/>
                <w:u w:val="single"/>
              </w:rPr>
            </w:pPr>
          </w:p>
        </w:tc>
      </w:tr>
      <w:tr w:rsidR="00177F15" w:rsidRPr="00BA6628" w14:paraId="0006B16B" w14:textId="77777777" w:rsidTr="715C5E64">
        <w:tc>
          <w:tcPr>
            <w:tcW w:w="9819" w:type="dxa"/>
            <w:tcBorders>
              <w:top w:val="single" w:sz="4" w:space="0" w:color="999999"/>
              <w:left w:val="single" w:sz="4" w:space="0" w:color="999999"/>
              <w:bottom w:val="single" w:sz="4" w:space="0" w:color="999999"/>
              <w:right w:val="single" w:sz="4" w:space="0" w:color="999999"/>
            </w:tcBorders>
          </w:tcPr>
          <w:p w14:paraId="5A3B0DC5" w14:textId="77777777" w:rsidR="00ED2D80" w:rsidRDefault="00ED2D80" w:rsidP="0083077B">
            <w:pPr>
              <w:rPr>
                <w:rFonts w:cs="Arial"/>
                <w:b/>
                <w:bCs/>
                <w:color w:val="339966"/>
                <w:sz w:val="22"/>
                <w:szCs w:val="22"/>
              </w:rPr>
            </w:pPr>
          </w:p>
          <w:p w14:paraId="4757758E" w14:textId="428743A6" w:rsidR="0083077B" w:rsidRPr="00BA6628" w:rsidRDefault="0083077B" w:rsidP="0083077B">
            <w:pPr>
              <w:rPr>
                <w:rFonts w:cs="Arial"/>
                <w:b/>
                <w:bCs/>
                <w:color w:val="339966"/>
                <w:sz w:val="22"/>
                <w:szCs w:val="22"/>
              </w:rPr>
            </w:pPr>
            <w:r w:rsidRPr="00BA6628">
              <w:rPr>
                <w:rFonts w:cs="Arial"/>
                <w:b/>
                <w:bCs/>
                <w:color w:val="339966"/>
                <w:sz w:val="22"/>
                <w:szCs w:val="22"/>
              </w:rPr>
              <w:lastRenderedPageBreak/>
              <w:t xml:space="preserve">3.1 </w:t>
            </w:r>
            <w:r w:rsidR="00720C62" w:rsidRPr="00BA6628">
              <w:rPr>
                <w:rFonts w:cs="Arial"/>
                <w:b/>
                <w:bCs/>
                <w:color w:val="339966"/>
                <w:sz w:val="22"/>
                <w:szCs w:val="22"/>
              </w:rPr>
              <w:t>Aims and O</w:t>
            </w:r>
            <w:r w:rsidR="00177F15" w:rsidRPr="00BA6628">
              <w:rPr>
                <w:rFonts w:cs="Arial"/>
                <w:b/>
                <w:bCs/>
                <w:color w:val="339966"/>
                <w:sz w:val="22"/>
                <w:szCs w:val="22"/>
              </w:rPr>
              <w:t xml:space="preserve">bjectives of </w:t>
            </w:r>
            <w:r w:rsidR="00720C62" w:rsidRPr="00BA6628">
              <w:rPr>
                <w:rFonts w:cs="Arial"/>
                <w:b/>
                <w:bCs/>
                <w:color w:val="339966"/>
                <w:sz w:val="22"/>
                <w:szCs w:val="22"/>
              </w:rPr>
              <w:t>the S</w:t>
            </w:r>
            <w:r w:rsidR="00177F15" w:rsidRPr="00BA6628">
              <w:rPr>
                <w:rFonts w:cs="Arial"/>
                <w:b/>
                <w:bCs/>
                <w:color w:val="339966"/>
                <w:sz w:val="22"/>
                <w:szCs w:val="22"/>
              </w:rPr>
              <w:t>ervice</w:t>
            </w:r>
          </w:p>
          <w:p w14:paraId="0145934B" w14:textId="77777777" w:rsidR="0083077B" w:rsidRPr="00BA6628" w:rsidRDefault="0083077B" w:rsidP="0083077B">
            <w:pPr>
              <w:rPr>
                <w:rFonts w:cs="Arial"/>
                <w:bCs/>
                <w:color w:val="339966"/>
                <w:sz w:val="22"/>
                <w:szCs w:val="22"/>
              </w:rPr>
            </w:pPr>
          </w:p>
          <w:p w14:paraId="65305B64" w14:textId="2601BA01" w:rsidR="00177F15" w:rsidRPr="00BA6628" w:rsidRDefault="006C1A8F" w:rsidP="00110423">
            <w:pPr>
              <w:suppressAutoHyphens w:val="0"/>
              <w:rPr>
                <w:rFonts w:cs="Arial"/>
                <w:b/>
                <w:bCs/>
                <w:sz w:val="22"/>
                <w:szCs w:val="22"/>
              </w:rPr>
            </w:pPr>
            <w:r w:rsidRPr="00BA6628">
              <w:rPr>
                <w:rFonts w:cs="Arial"/>
                <w:sz w:val="22"/>
                <w:szCs w:val="22"/>
              </w:rPr>
              <w:t xml:space="preserve">The aim of the service is to </w:t>
            </w:r>
            <w:r w:rsidR="00B0692A" w:rsidRPr="00BA6628">
              <w:rPr>
                <w:rFonts w:cs="Arial"/>
                <w:sz w:val="22"/>
                <w:szCs w:val="22"/>
              </w:rPr>
              <w:t xml:space="preserve">promote the uptake for vitamin D in winter </w:t>
            </w:r>
          </w:p>
          <w:p w14:paraId="0B2EFF8C" w14:textId="77777777" w:rsidR="00AE49B6" w:rsidRPr="00BA6628" w:rsidRDefault="00AE49B6" w:rsidP="00110423">
            <w:pPr>
              <w:suppressAutoHyphens w:val="0"/>
              <w:rPr>
                <w:rFonts w:cs="Arial"/>
                <w:b/>
                <w:bCs/>
                <w:color w:val="339966"/>
                <w:sz w:val="22"/>
                <w:szCs w:val="22"/>
              </w:rPr>
            </w:pPr>
          </w:p>
          <w:p w14:paraId="0895DE17" w14:textId="77777777" w:rsidR="00B25D74" w:rsidRPr="00BA6628" w:rsidRDefault="009A2DA1" w:rsidP="00110423">
            <w:pPr>
              <w:rPr>
                <w:rFonts w:cs="Arial"/>
                <w:b/>
                <w:bCs/>
                <w:color w:val="000000" w:themeColor="text1"/>
                <w:sz w:val="22"/>
                <w:szCs w:val="22"/>
              </w:rPr>
            </w:pPr>
            <w:r w:rsidRPr="00BA6628">
              <w:rPr>
                <w:rFonts w:cs="Arial"/>
                <w:b/>
                <w:bCs/>
                <w:color w:val="000000" w:themeColor="text1"/>
                <w:sz w:val="22"/>
                <w:szCs w:val="22"/>
              </w:rPr>
              <w:t>3.</w:t>
            </w:r>
            <w:r w:rsidR="0083077B" w:rsidRPr="00BA6628">
              <w:rPr>
                <w:rFonts w:cs="Arial"/>
                <w:b/>
                <w:bCs/>
                <w:color w:val="000000" w:themeColor="text1"/>
                <w:sz w:val="22"/>
                <w:szCs w:val="22"/>
              </w:rPr>
              <w:t>2</w:t>
            </w:r>
            <w:r w:rsidRPr="00BA6628">
              <w:rPr>
                <w:rFonts w:cs="Arial"/>
                <w:b/>
                <w:bCs/>
                <w:color w:val="000000" w:themeColor="text1"/>
                <w:sz w:val="22"/>
                <w:szCs w:val="22"/>
              </w:rPr>
              <w:t xml:space="preserve">.1 </w:t>
            </w:r>
            <w:r w:rsidR="002660E0" w:rsidRPr="00BA6628">
              <w:rPr>
                <w:rFonts w:cs="Arial"/>
                <w:b/>
                <w:bCs/>
                <w:color w:val="000000" w:themeColor="text1"/>
                <w:sz w:val="22"/>
                <w:szCs w:val="22"/>
              </w:rPr>
              <w:t>Services, C</w:t>
            </w:r>
            <w:r w:rsidR="00CD1A54" w:rsidRPr="00BA6628">
              <w:rPr>
                <w:rFonts w:cs="Arial"/>
                <w:b/>
                <w:bCs/>
                <w:color w:val="000000" w:themeColor="text1"/>
                <w:sz w:val="22"/>
                <w:szCs w:val="22"/>
              </w:rPr>
              <w:t xml:space="preserve">are and </w:t>
            </w:r>
            <w:r w:rsidR="002660E0" w:rsidRPr="00BA6628">
              <w:rPr>
                <w:rFonts w:cs="Arial"/>
                <w:b/>
                <w:bCs/>
                <w:color w:val="000000" w:themeColor="text1"/>
                <w:sz w:val="22"/>
                <w:szCs w:val="22"/>
              </w:rPr>
              <w:t>Interventions P</w:t>
            </w:r>
            <w:r w:rsidR="00CD1A54" w:rsidRPr="00BA6628">
              <w:rPr>
                <w:rFonts w:cs="Arial"/>
                <w:b/>
                <w:bCs/>
                <w:color w:val="000000" w:themeColor="text1"/>
                <w:sz w:val="22"/>
                <w:szCs w:val="22"/>
              </w:rPr>
              <w:t>rovided</w:t>
            </w:r>
            <w:r w:rsidR="002660E0" w:rsidRPr="00BA6628">
              <w:rPr>
                <w:rFonts w:cs="Arial"/>
                <w:b/>
                <w:bCs/>
                <w:color w:val="000000" w:themeColor="text1"/>
                <w:sz w:val="22"/>
                <w:szCs w:val="22"/>
              </w:rPr>
              <w:t>:</w:t>
            </w:r>
          </w:p>
          <w:p w14:paraId="7875C4B6" w14:textId="452A8A58" w:rsidR="00E62C21" w:rsidRPr="00BA6628" w:rsidRDefault="00B0692A" w:rsidP="00B0692A">
            <w:pPr>
              <w:tabs>
                <w:tab w:val="left" w:pos="7049"/>
              </w:tabs>
              <w:rPr>
                <w:rFonts w:cs="Arial"/>
                <w:b/>
                <w:bCs/>
                <w:color w:val="000000" w:themeColor="text1"/>
                <w:sz w:val="22"/>
                <w:szCs w:val="22"/>
              </w:rPr>
            </w:pPr>
            <w:r w:rsidRPr="00BA6628">
              <w:rPr>
                <w:rFonts w:cs="Arial"/>
                <w:b/>
                <w:bCs/>
                <w:color w:val="000000" w:themeColor="text1"/>
                <w:sz w:val="22"/>
                <w:szCs w:val="22"/>
              </w:rPr>
              <w:tab/>
            </w:r>
          </w:p>
          <w:p w14:paraId="59086856" w14:textId="61F8AFE4" w:rsidR="00DC694D" w:rsidRPr="00CD43F4" w:rsidRDefault="7BEC4D48" w:rsidP="00984E9C">
            <w:pPr>
              <w:pStyle w:val="ListParagraph"/>
              <w:numPr>
                <w:ilvl w:val="0"/>
                <w:numId w:val="7"/>
              </w:numPr>
              <w:suppressAutoHyphens w:val="0"/>
              <w:rPr>
                <w:sz w:val="22"/>
                <w:szCs w:val="22"/>
              </w:rPr>
            </w:pPr>
            <w:r w:rsidRPr="715C5E64">
              <w:rPr>
                <w:sz w:val="22"/>
                <w:szCs w:val="22"/>
              </w:rPr>
              <w:t>6</w:t>
            </w:r>
            <w:r w:rsidR="06B37190" w:rsidRPr="715C5E64">
              <w:rPr>
                <w:sz w:val="22"/>
                <w:szCs w:val="22"/>
              </w:rPr>
              <w:t>000 v</w:t>
            </w:r>
            <w:r w:rsidR="2541D6A4" w:rsidRPr="715C5E64">
              <w:rPr>
                <w:sz w:val="22"/>
                <w:szCs w:val="22"/>
              </w:rPr>
              <w:t>ulnerable adults in the borough will be provided with vitamin D vouchers</w:t>
            </w:r>
            <w:r w:rsidR="32C2B5E2" w:rsidRPr="715C5E64">
              <w:rPr>
                <w:sz w:val="22"/>
                <w:szCs w:val="22"/>
              </w:rPr>
              <w:t xml:space="preserve"> this winter</w:t>
            </w:r>
            <w:r w:rsidR="30FA28C5" w:rsidRPr="715C5E64">
              <w:rPr>
                <w:sz w:val="22"/>
                <w:szCs w:val="22"/>
              </w:rPr>
              <w:t xml:space="preserve"> </w:t>
            </w:r>
            <w:r w:rsidR="2D01AFC6" w:rsidRPr="715C5E64">
              <w:rPr>
                <w:sz w:val="22"/>
                <w:szCs w:val="22"/>
              </w:rPr>
              <w:t xml:space="preserve">included in the winter well </w:t>
            </w:r>
            <w:r w:rsidR="71F5DE72" w:rsidRPr="715C5E64">
              <w:rPr>
                <w:sz w:val="22"/>
                <w:szCs w:val="22"/>
              </w:rPr>
              <w:t xml:space="preserve">pack provided to </w:t>
            </w:r>
            <w:r w:rsidR="191B42D7" w:rsidRPr="715C5E64">
              <w:rPr>
                <w:sz w:val="22"/>
                <w:szCs w:val="22"/>
              </w:rPr>
              <w:t>the target residents</w:t>
            </w:r>
            <w:r w:rsidR="30FA28C5" w:rsidRPr="715C5E64">
              <w:rPr>
                <w:sz w:val="22"/>
                <w:szCs w:val="22"/>
              </w:rPr>
              <w:t xml:space="preserve">. The voucher </w:t>
            </w:r>
            <w:r w:rsidR="71F5DE72" w:rsidRPr="715C5E64">
              <w:rPr>
                <w:sz w:val="22"/>
                <w:szCs w:val="22"/>
              </w:rPr>
              <w:t xml:space="preserve">is </w:t>
            </w:r>
            <w:r w:rsidR="7ACB5EA2" w:rsidRPr="715C5E64">
              <w:rPr>
                <w:sz w:val="22"/>
                <w:szCs w:val="22"/>
              </w:rPr>
              <w:t>for suitable</w:t>
            </w:r>
            <w:r w:rsidR="47465434" w:rsidRPr="715C5E64">
              <w:rPr>
                <w:sz w:val="22"/>
                <w:szCs w:val="22"/>
              </w:rPr>
              <w:t xml:space="preserve"> licen</w:t>
            </w:r>
            <w:r w:rsidR="0EC3C5FA" w:rsidRPr="715C5E64">
              <w:rPr>
                <w:sz w:val="22"/>
                <w:szCs w:val="22"/>
              </w:rPr>
              <w:t>s</w:t>
            </w:r>
            <w:r w:rsidR="47465434" w:rsidRPr="715C5E64">
              <w:rPr>
                <w:sz w:val="22"/>
                <w:szCs w:val="22"/>
              </w:rPr>
              <w:t xml:space="preserve">ed </w:t>
            </w:r>
            <w:r w:rsidR="2541D6A4" w:rsidRPr="715C5E64">
              <w:rPr>
                <w:sz w:val="22"/>
                <w:szCs w:val="22"/>
              </w:rPr>
              <w:t>vitamin D</w:t>
            </w:r>
            <w:r w:rsidR="53DAE820" w:rsidRPr="715C5E64">
              <w:rPr>
                <w:sz w:val="22"/>
                <w:szCs w:val="22"/>
              </w:rPr>
              <w:t>,</w:t>
            </w:r>
            <w:r w:rsidR="47465434" w:rsidRPr="715C5E64">
              <w:rPr>
                <w:sz w:val="22"/>
                <w:szCs w:val="22"/>
              </w:rPr>
              <w:t xml:space="preserve"> </w:t>
            </w:r>
            <w:r w:rsidR="191B42D7" w:rsidRPr="715C5E64">
              <w:rPr>
                <w:sz w:val="22"/>
                <w:szCs w:val="22"/>
              </w:rPr>
              <w:t xml:space="preserve">which can </w:t>
            </w:r>
            <w:r w:rsidR="2541D6A4" w:rsidRPr="715C5E64">
              <w:rPr>
                <w:sz w:val="22"/>
                <w:szCs w:val="22"/>
              </w:rPr>
              <w:t>be exchanged for</w:t>
            </w:r>
            <w:r w:rsidR="2B40BBDE" w:rsidRPr="715C5E64">
              <w:rPr>
                <w:sz w:val="22"/>
                <w:szCs w:val="22"/>
              </w:rPr>
              <w:t xml:space="preserve"> </w:t>
            </w:r>
            <w:r w:rsidRPr="715C5E64">
              <w:rPr>
                <w:sz w:val="22"/>
                <w:szCs w:val="22"/>
              </w:rPr>
              <w:t>4</w:t>
            </w:r>
            <w:r w:rsidR="2B40BBDE" w:rsidRPr="715C5E64">
              <w:rPr>
                <w:sz w:val="22"/>
                <w:szCs w:val="22"/>
              </w:rPr>
              <w:t xml:space="preserve"> </w:t>
            </w:r>
            <w:r w:rsidR="570D0C7B" w:rsidRPr="715C5E64">
              <w:rPr>
                <w:sz w:val="22"/>
                <w:szCs w:val="22"/>
              </w:rPr>
              <w:t>months’</w:t>
            </w:r>
            <w:r w:rsidR="2B40BBDE" w:rsidRPr="715C5E64">
              <w:rPr>
                <w:sz w:val="22"/>
                <w:szCs w:val="22"/>
              </w:rPr>
              <w:t xml:space="preserve"> supply of </w:t>
            </w:r>
            <w:r w:rsidR="570D0C7B" w:rsidRPr="715C5E64">
              <w:rPr>
                <w:sz w:val="22"/>
                <w:szCs w:val="22"/>
              </w:rPr>
              <w:t xml:space="preserve">vitamin D </w:t>
            </w:r>
            <w:r w:rsidR="2541D6A4" w:rsidRPr="715C5E64">
              <w:rPr>
                <w:sz w:val="22"/>
                <w:szCs w:val="22"/>
              </w:rPr>
              <w:t>tablets</w:t>
            </w:r>
            <w:r w:rsidR="27610604" w:rsidRPr="715C5E64">
              <w:rPr>
                <w:sz w:val="22"/>
                <w:szCs w:val="22"/>
              </w:rPr>
              <w:t>, to last them until end of March 2025</w:t>
            </w:r>
            <w:r w:rsidR="2B40BBDE" w:rsidRPr="715C5E64">
              <w:rPr>
                <w:sz w:val="22"/>
                <w:szCs w:val="22"/>
              </w:rPr>
              <w:t>.</w:t>
            </w:r>
          </w:p>
          <w:p w14:paraId="76E07FD9" w14:textId="67F746D2" w:rsidR="00DC2F62" w:rsidRPr="00DC2F62" w:rsidRDefault="00DC2F62" w:rsidP="00DC2F62">
            <w:pPr>
              <w:pStyle w:val="ListParagraph"/>
              <w:numPr>
                <w:ilvl w:val="0"/>
                <w:numId w:val="7"/>
              </w:numPr>
              <w:suppressAutoHyphens w:val="0"/>
              <w:rPr>
                <w:sz w:val="22"/>
                <w:szCs w:val="22"/>
              </w:rPr>
            </w:pPr>
            <w:r w:rsidRPr="678B48CC">
              <w:rPr>
                <w:sz w:val="22"/>
                <w:szCs w:val="22"/>
              </w:rPr>
              <w:t xml:space="preserve">The client attends the pharmacy and exchanges voucher for a maximum </w:t>
            </w:r>
            <w:r w:rsidR="00D77055" w:rsidRPr="678B48CC">
              <w:rPr>
                <w:sz w:val="22"/>
                <w:szCs w:val="22"/>
              </w:rPr>
              <w:t>of</w:t>
            </w:r>
            <w:r w:rsidRPr="678B48CC">
              <w:rPr>
                <w:sz w:val="22"/>
                <w:szCs w:val="22"/>
              </w:rPr>
              <w:t xml:space="preserve"> </w:t>
            </w:r>
            <w:r w:rsidR="000A5D68" w:rsidRPr="678B48CC">
              <w:rPr>
                <w:sz w:val="22"/>
                <w:szCs w:val="22"/>
              </w:rPr>
              <w:t>1</w:t>
            </w:r>
            <w:r w:rsidR="733EF152" w:rsidRPr="678B48CC">
              <w:rPr>
                <w:sz w:val="22"/>
                <w:szCs w:val="22"/>
              </w:rPr>
              <w:t>50</w:t>
            </w:r>
            <w:r w:rsidRPr="678B48CC">
              <w:rPr>
                <w:sz w:val="22"/>
                <w:szCs w:val="22"/>
              </w:rPr>
              <w:t xml:space="preserve"> vitamin D tablets. The staff member will supply the product with supporting information verbally.</w:t>
            </w:r>
          </w:p>
          <w:p w14:paraId="1D959BD3" w14:textId="77777777" w:rsidR="00DC2F62" w:rsidRPr="00DC2F62" w:rsidRDefault="00DC2F62" w:rsidP="00DC2F62">
            <w:pPr>
              <w:pStyle w:val="ListParagraph"/>
              <w:numPr>
                <w:ilvl w:val="0"/>
                <w:numId w:val="7"/>
              </w:numPr>
              <w:suppressAutoHyphens w:val="0"/>
              <w:rPr>
                <w:sz w:val="22"/>
                <w:szCs w:val="22"/>
              </w:rPr>
            </w:pPr>
            <w:r w:rsidRPr="00DC2F62">
              <w:rPr>
                <w:sz w:val="22"/>
                <w:szCs w:val="22"/>
              </w:rPr>
              <w:t>The pharmacy must supply tablets after checking the necessary contraindications as described in the protocol (Appendix O). Overall responsibility for ensuring the suitability of the selected therapy product supplied to the client lies with the pharmacist.</w:t>
            </w:r>
          </w:p>
          <w:p w14:paraId="0F87A806" w14:textId="77777777" w:rsidR="00DC2F62" w:rsidRPr="00DC2F62" w:rsidRDefault="00DC2F62" w:rsidP="00DC2F62">
            <w:pPr>
              <w:pStyle w:val="ListParagraph"/>
              <w:numPr>
                <w:ilvl w:val="0"/>
                <w:numId w:val="7"/>
              </w:numPr>
              <w:suppressAutoHyphens w:val="0"/>
              <w:rPr>
                <w:sz w:val="22"/>
                <w:szCs w:val="22"/>
              </w:rPr>
            </w:pPr>
            <w:r w:rsidRPr="00DC2F62">
              <w:rPr>
                <w:sz w:val="22"/>
                <w:szCs w:val="22"/>
              </w:rPr>
              <w:t>The St Helens Public Health team and the pharmacist will be responsible for ensuring the completion and accuracy of recorded client data and service documentation.</w:t>
            </w:r>
          </w:p>
          <w:p w14:paraId="208A689D" w14:textId="77777777" w:rsidR="0083077B" w:rsidRPr="00BA6628" w:rsidRDefault="0083077B" w:rsidP="00AD5DED">
            <w:pPr>
              <w:pStyle w:val="ListParagraph"/>
              <w:suppressAutoHyphens w:val="0"/>
              <w:ind w:left="360"/>
              <w:rPr>
                <w:sz w:val="22"/>
                <w:szCs w:val="22"/>
              </w:rPr>
            </w:pPr>
          </w:p>
          <w:p w14:paraId="47E30107" w14:textId="77777777" w:rsidR="006D12D9" w:rsidRPr="002C5360" w:rsidRDefault="006D12D9" w:rsidP="006D12D9">
            <w:pPr>
              <w:tabs>
                <w:tab w:val="left" w:pos="478"/>
              </w:tabs>
              <w:rPr>
                <w:rFonts w:cs="Arial"/>
                <w:sz w:val="20"/>
              </w:rPr>
            </w:pPr>
            <w:r w:rsidRPr="002C5360">
              <w:rPr>
                <w:rFonts w:cs="Arial"/>
                <w:b/>
                <w:sz w:val="20"/>
              </w:rPr>
              <w:t>3.</w:t>
            </w:r>
            <w:r>
              <w:rPr>
                <w:rFonts w:cs="Arial"/>
                <w:b/>
                <w:sz w:val="20"/>
              </w:rPr>
              <w:t>2</w:t>
            </w:r>
            <w:r w:rsidRPr="002C5360">
              <w:rPr>
                <w:rFonts w:cs="Arial"/>
                <w:b/>
                <w:sz w:val="20"/>
              </w:rPr>
              <w:t>.2</w:t>
            </w:r>
            <w:r w:rsidRPr="002C5360">
              <w:rPr>
                <w:rFonts w:cs="Arial"/>
                <w:b/>
                <w:sz w:val="20"/>
              </w:rPr>
              <w:tab/>
              <w:t>Service Standards</w:t>
            </w:r>
          </w:p>
          <w:p w14:paraId="6AAB5091" w14:textId="77777777" w:rsidR="006D12D9" w:rsidRPr="002C5360" w:rsidRDefault="006D12D9" w:rsidP="006D12D9">
            <w:pPr>
              <w:pStyle w:val="ListParagraph"/>
              <w:tabs>
                <w:tab w:val="left" w:pos="639"/>
              </w:tabs>
              <w:ind w:left="360"/>
              <w:rPr>
                <w:rFonts w:cs="Arial"/>
                <w:sz w:val="20"/>
              </w:rPr>
            </w:pPr>
          </w:p>
          <w:p w14:paraId="493EC183" w14:textId="70D047ED" w:rsidR="006D12D9" w:rsidRPr="006D12D9" w:rsidRDefault="006D12D9" w:rsidP="006D12D9">
            <w:pPr>
              <w:pStyle w:val="ListParagraph"/>
              <w:numPr>
                <w:ilvl w:val="0"/>
                <w:numId w:val="8"/>
              </w:numPr>
              <w:tabs>
                <w:tab w:val="left" w:pos="639"/>
              </w:tabs>
              <w:rPr>
                <w:rFonts w:cs="Arial"/>
                <w:sz w:val="22"/>
                <w:szCs w:val="22"/>
              </w:rPr>
            </w:pPr>
            <w:r w:rsidRPr="006D12D9">
              <w:rPr>
                <w:sz w:val="22"/>
                <w:szCs w:val="22"/>
              </w:rPr>
              <w:t>The pharmacy has a duty to ensure that pharmacists and other staff involved in the provision of this service have the relevant knowledge, skills and have read about this service and are aware of and act in accordance with local protocols and national guidance, specified in Appendix O.</w:t>
            </w:r>
          </w:p>
          <w:p w14:paraId="07929B94" w14:textId="2B7ADDBA" w:rsidR="006D12D9" w:rsidRPr="006D12D9" w:rsidRDefault="006D12D9" w:rsidP="006D12D9">
            <w:pPr>
              <w:pStyle w:val="ListParagraph"/>
              <w:numPr>
                <w:ilvl w:val="0"/>
                <w:numId w:val="8"/>
              </w:numPr>
              <w:tabs>
                <w:tab w:val="left" w:pos="639"/>
              </w:tabs>
              <w:rPr>
                <w:rFonts w:cs="Arial"/>
                <w:sz w:val="22"/>
                <w:szCs w:val="22"/>
              </w:rPr>
            </w:pPr>
            <w:r w:rsidRPr="006D12D9">
              <w:rPr>
                <w:sz w:val="22"/>
                <w:szCs w:val="22"/>
              </w:rPr>
              <w:t xml:space="preserve">The pharmacist should consider communicating this information to the client’s GP with the client’s consent and always where medicines need dose adjustment if vitamin D is being taken </w:t>
            </w:r>
          </w:p>
          <w:p w14:paraId="1E674034" w14:textId="77777777" w:rsidR="006D12D9" w:rsidRPr="006D12D9" w:rsidRDefault="006D12D9" w:rsidP="006D12D9">
            <w:pPr>
              <w:pStyle w:val="ListParagraph"/>
              <w:numPr>
                <w:ilvl w:val="0"/>
                <w:numId w:val="8"/>
              </w:numPr>
              <w:tabs>
                <w:tab w:val="left" w:pos="639"/>
              </w:tabs>
              <w:rPr>
                <w:rFonts w:cs="Arial"/>
                <w:sz w:val="22"/>
                <w:szCs w:val="22"/>
              </w:rPr>
            </w:pPr>
            <w:r w:rsidRPr="006D12D9">
              <w:rPr>
                <w:sz w:val="22"/>
                <w:szCs w:val="22"/>
              </w:rPr>
              <w:t xml:space="preserve">A GP notification will be included in the </w:t>
            </w:r>
            <w:proofErr w:type="spellStart"/>
            <w:r w:rsidRPr="006D12D9">
              <w:rPr>
                <w:sz w:val="22"/>
                <w:szCs w:val="22"/>
              </w:rPr>
              <w:t>PharmOutcomes</w:t>
            </w:r>
            <w:proofErr w:type="spellEnd"/>
            <w:r w:rsidRPr="006D12D9">
              <w:rPr>
                <w:sz w:val="22"/>
                <w:szCs w:val="22"/>
              </w:rPr>
              <w:t xml:space="preserve"> module</w:t>
            </w:r>
          </w:p>
          <w:p w14:paraId="7A16D0A5" w14:textId="77777777" w:rsidR="006D12D9" w:rsidRPr="006D12D9" w:rsidRDefault="006D12D9" w:rsidP="006D12D9">
            <w:pPr>
              <w:pStyle w:val="ListParagraph"/>
              <w:numPr>
                <w:ilvl w:val="0"/>
                <w:numId w:val="8"/>
              </w:numPr>
              <w:tabs>
                <w:tab w:val="left" w:pos="639"/>
              </w:tabs>
              <w:rPr>
                <w:rFonts w:cs="Arial"/>
                <w:sz w:val="22"/>
                <w:szCs w:val="22"/>
              </w:rPr>
            </w:pPr>
            <w:r w:rsidRPr="006D12D9">
              <w:rPr>
                <w:sz w:val="22"/>
                <w:szCs w:val="22"/>
              </w:rPr>
              <w:t xml:space="preserve">The pharmacy must endorse all vouchers for audit and payment purposes and input into </w:t>
            </w:r>
            <w:proofErr w:type="spellStart"/>
            <w:r w:rsidRPr="006D12D9">
              <w:rPr>
                <w:sz w:val="22"/>
                <w:szCs w:val="22"/>
              </w:rPr>
              <w:t>PharmOutcomes</w:t>
            </w:r>
            <w:proofErr w:type="spellEnd"/>
            <w:r w:rsidRPr="006D12D9">
              <w:rPr>
                <w:sz w:val="22"/>
                <w:szCs w:val="22"/>
              </w:rPr>
              <w:t xml:space="preserve"> for each voucher exchanged. The details in the form (Appendix P) should be kept for 6 months, until the audit process is complete. </w:t>
            </w:r>
          </w:p>
          <w:p w14:paraId="584F4E43" w14:textId="77777777" w:rsidR="006D12D9" w:rsidRPr="008E344B" w:rsidRDefault="006D12D9" w:rsidP="006D12D9">
            <w:pPr>
              <w:pStyle w:val="ListParagraph"/>
              <w:numPr>
                <w:ilvl w:val="0"/>
                <w:numId w:val="8"/>
              </w:numPr>
              <w:tabs>
                <w:tab w:val="left" w:pos="639"/>
              </w:tabs>
              <w:rPr>
                <w:rFonts w:cs="Arial"/>
                <w:sz w:val="22"/>
                <w:szCs w:val="22"/>
              </w:rPr>
            </w:pPr>
            <w:r w:rsidRPr="008E344B">
              <w:rPr>
                <w:rFonts w:cs="Arial"/>
                <w:sz w:val="22"/>
                <w:szCs w:val="22"/>
              </w:rPr>
              <w:t>Clients can present with further vouchers in accordance with local protocols.</w:t>
            </w:r>
          </w:p>
          <w:p w14:paraId="757A5826" w14:textId="77777777" w:rsidR="006D12D9" w:rsidRDefault="006D12D9" w:rsidP="006D12D9">
            <w:pPr>
              <w:tabs>
                <w:tab w:val="left" w:pos="639"/>
              </w:tabs>
              <w:rPr>
                <w:rFonts w:cs="Arial"/>
                <w:sz w:val="20"/>
              </w:rPr>
            </w:pPr>
          </w:p>
          <w:p w14:paraId="719494A6" w14:textId="77777777" w:rsidR="006D12D9" w:rsidRPr="002C5360" w:rsidRDefault="4CE943E4" w:rsidP="05C95E3E">
            <w:pPr>
              <w:tabs>
                <w:tab w:val="left" w:pos="478"/>
              </w:tabs>
              <w:rPr>
                <w:rFonts w:cs="Arial"/>
                <w:sz w:val="20"/>
              </w:rPr>
            </w:pPr>
            <w:r w:rsidRPr="05C95E3E">
              <w:rPr>
                <w:rFonts w:cs="Arial"/>
                <w:b/>
                <w:bCs/>
                <w:sz w:val="20"/>
              </w:rPr>
              <w:t>3.2.3</w:t>
            </w:r>
            <w:r w:rsidR="006D12D9">
              <w:tab/>
            </w:r>
            <w:r w:rsidRPr="05C95E3E">
              <w:rPr>
                <w:rFonts w:cs="Arial"/>
                <w:b/>
                <w:bCs/>
                <w:sz w:val="20"/>
              </w:rPr>
              <w:t xml:space="preserve">Information provided to clients in the Winter Well pack </w:t>
            </w:r>
          </w:p>
          <w:p w14:paraId="6C17A567" w14:textId="77777777" w:rsidR="006D12D9" w:rsidRDefault="006D12D9" w:rsidP="006D12D9">
            <w:pPr>
              <w:tabs>
                <w:tab w:val="left" w:pos="639"/>
              </w:tabs>
              <w:rPr>
                <w:rFonts w:cs="Arial"/>
                <w:sz w:val="20"/>
              </w:rPr>
            </w:pPr>
          </w:p>
          <w:p w14:paraId="6147DB38" w14:textId="1778A8D1" w:rsidR="00771725" w:rsidRDefault="00771725" w:rsidP="00771725">
            <w:pPr>
              <w:tabs>
                <w:tab w:val="left" w:pos="639"/>
              </w:tabs>
              <w:rPr>
                <w:sz w:val="22"/>
                <w:szCs w:val="22"/>
              </w:rPr>
            </w:pPr>
            <w:r w:rsidRPr="00771725">
              <w:rPr>
                <w:sz w:val="22"/>
                <w:szCs w:val="22"/>
              </w:rPr>
              <w:t>Vitamin D is important for building immunity against infections, and keeping bones, teeth and muscles healthy.</w:t>
            </w:r>
          </w:p>
          <w:p w14:paraId="440F7786" w14:textId="77777777" w:rsidR="00475068" w:rsidRDefault="00475068" w:rsidP="00771725">
            <w:pPr>
              <w:tabs>
                <w:tab w:val="left" w:pos="639"/>
              </w:tabs>
              <w:rPr>
                <w:sz w:val="22"/>
                <w:szCs w:val="22"/>
              </w:rPr>
            </w:pPr>
          </w:p>
          <w:p w14:paraId="5ECF60BE" w14:textId="1B6D93A9" w:rsidR="00771725" w:rsidRDefault="00771725" w:rsidP="00771725">
            <w:pPr>
              <w:pStyle w:val="ListParagraph"/>
              <w:numPr>
                <w:ilvl w:val="0"/>
                <w:numId w:val="19"/>
              </w:numPr>
              <w:tabs>
                <w:tab w:val="left" w:pos="639"/>
              </w:tabs>
              <w:rPr>
                <w:sz w:val="22"/>
                <w:szCs w:val="22"/>
              </w:rPr>
            </w:pPr>
            <w:r w:rsidRPr="00771725">
              <w:rPr>
                <w:sz w:val="22"/>
                <w:szCs w:val="22"/>
              </w:rPr>
              <w:t>Take vitamin D supplements during the winter months when you are less likely to get it directly from sunlight.</w:t>
            </w:r>
          </w:p>
          <w:p w14:paraId="27A82372" w14:textId="745C2544" w:rsidR="00F33FCC" w:rsidRDefault="00F33FCC" w:rsidP="00BC257B">
            <w:pPr>
              <w:pStyle w:val="ListParagraph"/>
              <w:numPr>
                <w:ilvl w:val="0"/>
                <w:numId w:val="19"/>
              </w:numPr>
              <w:tabs>
                <w:tab w:val="left" w:pos="639"/>
              </w:tabs>
              <w:rPr>
                <w:sz w:val="22"/>
                <w:szCs w:val="22"/>
              </w:rPr>
            </w:pPr>
            <w:r w:rsidRPr="00F33FCC">
              <w:rPr>
                <w:sz w:val="22"/>
                <w:szCs w:val="22"/>
              </w:rPr>
              <w:t>Some people have medical conditions that mean they may not be able to safely take as much.</w:t>
            </w:r>
            <w:r>
              <w:rPr>
                <w:sz w:val="22"/>
                <w:szCs w:val="22"/>
              </w:rPr>
              <w:t xml:space="preserve"> </w:t>
            </w:r>
            <w:r w:rsidRPr="00F33FCC">
              <w:rPr>
                <w:sz w:val="22"/>
                <w:szCs w:val="22"/>
              </w:rPr>
              <w:t>If in doubt, you should consult your doctor</w:t>
            </w:r>
          </w:p>
          <w:p w14:paraId="5571D6AA" w14:textId="5CE69312" w:rsidR="00F33FCC" w:rsidRDefault="00F33FCC" w:rsidP="00440CA9">
            <w:pPr>
              <w:pStyle w:val="ListParagraph"/>
              <w:numPr>
                <w:ilvl w:val="0"/>
                <w:numId w:val="19"/>
              </w:numPr>
              <w:tabs>
                <w:tab w:val="left" w:pos="639"/>
              </w:tabs>
              <w:rPr>
                <w:sz w:val="22"/>
                <w:szCs w:val="22"/>
              </w:rPr>
            </w:pPr>
            <w:r w:rsidRPr="00F33FCC">
              <w:rPr>
                <w:sz w:val="22"/>
                <w:szCs w:val="22"/>
              </w:rPr>
              <w:t xml:space="preserve">If you can take vitamin D supplements, 10 micrograms a day will be enough for </w:t>
            </w:r>
            <w:r>
              <w:rPr>
                <w:sz w:val="22"/>
                <w:szCs w:val="22"/>
              </w:rPr>
              <w:t>m</w:t>
            </w:r>
            <w:r w:rsidRPr="00F33FCC">
              <w:rPr>
                <w:sz w:val="22"/>
                <w:szCs w:val="22"/>
              </w:rPr>
              <w:t>ost people.</w:t>
            </w:r>
          </w:p>
          <w:p w14:paraId="172AE123" w14:textId="40859A9A" w:rsidR="00F33FCC" w:rsidRDefault="00F33FCC" w:rsidP="00623034">
            <w:pPr>
              <w:pStyle w:val="ListParagraph"/>
              <w:numPr>
                <w:ilvl w:val="0"/>
                <w:numId w:val="19"/>
              </w:numPr>
              <w:tabs>
                <w:tab w:val="left" w:pos="639"/>
              </w:tabs>
              <w:rPr>
                <w:sz w:val="22"/>
                <w:szCs w:val="22"/>
              </w:rPr>
            </w:pPr>
            <w:r w:rsidRPr="00F33FCC">
              <w:rPr>
                <w:sz w:val="22"/>
                <w:szCs w:val="22"/>
              </w:rPr>
              <w:t>Do not take more than 100 micrograms (4,000 IU) of vitamin D a day as it could be harmful. This applies to adults, including pregnant and breastfeeding women and the elderly, and children aged 11 to 17 years</w:t>
            </w:r>
          </w:p>
          <w:p w14:paraId="044465AA" w14:textId="73D0C1D8" w:rsidR="00F33FCC" w:rsidRDefault="00F33FCC" w:rsidP="00363EE2">
            <w:pPr>
              <w:pStyle w:val="ListParagraph"/>
              <w:numPr>
                <w:ilvl w:val="0"/>
                <w:numId w:val="19"/>
              </w:numPr>
              <w:tabs>
                <w:tab w:val="left" w:pos="639"/>
              </w:tabs>
              <w:rPr>
                <w:sz w:val="22"/>
                <w:szCs w:val="22"/>
              </w:rPr>
            </w:pPr>
            <w:r w:rsidRPr="00F33FCC">
              <w:rPr>
                <w:sz w:val="22"/>
                <w:szCs w:val="22"/>
              </w:rPr>
              <w:t>Children aged 1 to 10 years should not have more than 50 micrograms (2,000 IU) a day. Infants under 12 months should not have more than 25 micrograms (1,000 IU) a day.</w:t>
            </w:r>
          </w:p>
          <w:p w14:paraId="3F56F122" w14:textId="0B04B54A" w:rsidR="00F33FCC" w:rsidRDefault="00F33FCC" w:rsidP="00B321AF">
            <w:pPr>
              <w:pStyle w:val="ListParagraph"/>
              <w:numPr>
                <w:ilvl w:val="0"/>
                <w:numId w:val="19"/>
              </w:numPr>
              <w:tabs>
                <w:tab w:val="left" w:pos="639"/>
              </w:tabs>
              <w:rPr>
                <w:sz w:val="22"/>
                <w:szCs w:val="22"/>
              </w:rPr>
            </w:pPr>
            <w:r w:rsidRPr="00F33FCC">
              <w:rPr>
                <w:sz w:val="22"/>
                <w:szCs w:val="22"/>
              </w:rPr>
              <w:t>If your doctor has recommended you take a different amount of vitamin D, you should follow their advice. Check with your GP or pharmacist whether you are unable to take vitamin D supplement for any reason. If this is the case, vitamin D is also found in a small number of foods.</w:t>
            </w:r>
          </w:p>
          <w:p w14:paraId="6F2C5136" w14:textId="15864051" w:rsidR="00F33FCC" w:rsidRDefault="00F33FCC" w:rsidP="0019002B">
            <w:pPr>
              <w:pStyle w:val="ListParagraph"/>
              <w:numPr>
                <w:ilvl w:val="0"/>
                <w:numId w:val="19"/>
              </w:numPr>
              <w:tabs>
                <w:tab w:val="left" w:pos="639"/>
              </w:tabs>
              <w:rPr>
                <w:sz w:val="22"/>
                <w:szCs w:val="22"/>
              </w:rPr>
            </w:pPr>
            <w:r w:rsidRPr="00F33FCC">
              <w:rPr>
                <w:sz w:val="22"/>
                <w:szCs w:val="22"/>
              </w:rPr>
              <w:t>Eat food rich in vitamin D including oily fish (salmon, sardines, herring, and mackerel), red meat, liver, egg yolks and fortified foods (some fat spreads and breakfast cereals)</w:t>
            </w:r>
          </w:p>
          <w:p w14:paraId="671D0807" w14:textId="65C95609" w:rsidR="00F33FCC" w:rsidRPr="00F33FCC" w:rsidRDefault="00F33FCC" w:rsidP="0019002B">
            <w:pPr>
              <w:pStyle w:val="ListParagraph"/>
              <w:numPr>
                <w:ilvl w:val="0"/>
                <w:numId w:val="19"/>
              </w:numPr>
              <w:tabs>
                <w:tab w:val="left" w:pos="639"/>
              </w:tabs>
              <w:rPr>
                <w:sz w:val="22"/>
                <w:szCs w:val="22"/>
              </w:rPr>
            </w:pPr>
            <w:r w:rsidRPr="00F33FCC">
              <w:rPr>
                <w:sz w:val="22"/>
                <w:szCs w:val="22"/>
              </w:rPr>
              <w:t>Taking a Vitamin D supplement as well as eating foods rich in vitamin D and spending a lot of time outside in sunshine is not a problem.</w:t>
            </w:r>
          </w:p>
          <w:p w14:paraId="1A91767E" w14:textId="77777777" w:rsidR="005C3B7B" w:rsidRDefault="005C3B7B" w:rsidP="006D12D9">
            <w:pPr>
              <w:tabs>
                <w:tab w:val="left" w:pos="639"/>
              </w:tabs>
              <w:rPr>
                <w:sz w:val="22"/>
                <w:szCs w:val="22"/>
              </w:rPr>
            </w:pPr>
          </w:p>
          <w:p w14:paraId="32289289" w14:textId="2219EE00" w:rsidR="00AE49B6" w:rsidRDefault="00720B3F" w:rsidP="00F33FCC">
            <w:pPr>
              <w:tabs>
                <w:tab w:val="left" w:pos="639"/>
              </w:tabs>
              <w:rPr>
                <w:sz w:val="22"/>
                <w:szCs w:val="22"/>
              </w:rPr>
            </w:pPr>
            <w:r>
              <w:rPr>
                <w:sz w:val="22"/>
                <w:szCs w:val="22"/>
              </w:rPr>
              <w:lastRenderedPageBreak/>
              <w:t xml:space="preserve">They will also receive </w:t>
            </w:r>
            <w:r w:rsidRPr="00FD05E7">
              <w:rPr>
                <w:sz w:val="22"/>
                <w:szCs w:val="22"/>
              </w:rPr>
              <w:t xml:space="preserve">useful information on </w:t>
            </w:r>
            <w:r>
              <w:rPr>
                <w:sz w:val="22"/>
                <w:szCs w:val="22"/>
              </w:rPr>
              <w:t xml:space="preserve">how to </w:t>
            </w:r>
            <w:r w:rsidRPr="00FD05E7">
              <w:rPr>
                <w:sz w:val="22"/>
                <w:szCs w:val="22"/>
              </w:rPr>
              <w:t>access practical support such as food and fuel to keep people healthy this winter with the rising cost of living</w:t>
            </w:r>
            <w:r w:rsidR="00F33FCC">
              <w:rPr>
                <w:sz w:val="22"/>
                <w:szCs w:val="22"/>
              </w:rPr>
              <w:t xml:space="preserve">, as well as information on </w:t>
            </w:r>
            <w:r w:rsidR="0065051F">
              <w:rPr>
                <w:sz w:val="22"/>
                <w:szCs w:val="22"/>
              </w:rPr>
              <w:t>common winter illnesses and how to prevent them</w:t>
            </w:r>
            <w:r w:rsidRPr="00FD05E7">
              <w:rPr>
                <w:sz w:val="22"/>
                <w:szCs w:val="22"/>
              </w:rPr>
              <w:t>.</w:t>
            </w:r>
          </w:p>
          <w:p w14:paraId="11783F49" w14:textId="77777777" w:rsidR="00F33FCC" w:rsidRPr="00BA6628" w:rsidRDefault="00F33FCC" w:rsidP="00F33FCC">
            <w:pPr>
              <w:tabs>
                <w:tab w:val="left" w:pos="639"/>
              </w:tabs>
              <w:rPr>
                <w:rFonts w:cs="Arial"/>
                <w:sz w:val="22"/>
                <w:szCs w:val="22"/>
                <w:u w:val="single"/>
              </w:rPr>
            </w:pPr>
          </w:p>
          <w:p w14:paraId="598A4E4F" w14:textId="77777777" w:rsidR="00177F15" w:rsidRPr="00BA6628" w:rsidRDefault="008C1F83">
            <w:pPr>
              <w:pStyle w:val="ListParagraph"/>
              <w:numPr>
                <w:ilvl w:val="1"/>
                <w:numId w:val="1"/>
              </w:numPr>
              <w:tabs>
                <w:tab w:val="left" w:pos="356"/>
              </w:tabs>
              <w:rPr>
                <w:rFonts w:cs="Arial"/>
                <w:b/>
                <w:bCs/>
                <w:color w:val="339966"/>
                <w:sz w:val="22"/>
                <w:szCs w:val="22"/>
              </w:rPr>
            </w:pPr>
            <w:r w:rsidRPr="00BA6628">
              <w:rPr>
                <w:rFonts w:cs="Arial"/>
                <w:b/>
                <w:bCs/>
                <w:color w:val="339966"/>
                <w:sz w:val="22"/>
                <w:szCs w:val="22"/>
              </w:rPr>
              <w:t>Population C</w:t>
            </w:r>
            <w:r w:rsidR="00177F15" w:rsidRPr="00BA6628">
              <w:rPr>
                <w:rFonts w:cs="Arial"/>
                <w:b/>
                <w:bCs/>
                <w:color w:val="339966"/>
                <w:sz w:val="22"/>
                <w:szCs w:val="22"/>
              </w:rPr>
              <w:t>overed</w:t>
            </w:r>
          </w:p>
          <w:p w14:paraId="29EB23E9" w14:textId="77777777" w:rsidR="008B2E49" w:rsidRPr="00BA6628" w:rsidRDefault="008B2E49" w:rsidP="008C2B4A">
            <w:pPr>
              <w:pStyle w:val="ListParagraph"/>
              <w:tabs>
                <w:tab w:val="left" w:pos="0"/>
              </w:tabs>
              <w:ind w:left="0"/>
              <w:rPr>
                <w:rFonts w:cs="Arial"/>
                <w:b/>
                <w:bCs/>
                <w:color w:val="339966"/>
                <w:sz w:val="22"/>
                <w:szCs w:val="22"/>
              </w:rPr>
            </w:pPr>
          </w:p>
          <w:p w14:paraId="3CCD7B1C" w14:textId="3AFDEC03" w:rsidR="00605215" w:rsidRPr="00BA6628" w:rsidRDefault="004F49B2" w:rsidP="12AB9A3A">
            <w:pPr>
              <w:rPr>
                <w:rFonts w:cs="Arial"/>
                <w:sz w:val="22"/>
                <w:szCs w:val="22"/>
                <w:lang w:eastAsia="en-GB"/>
              </w:rPr>
            </w:pPr>
            <w:r w:rsidRPr="678B48CC">
              <w:rPr>
                <w:rFonts w:cs="Arial"/>
                <w:sz w:val="22"/>
                <w:szCs w:val="22"/>
                <w:lang w:eastAsia="en-GB"/>
              </w:rPr>
              <w:t xml:space="preserve">People who are resident, working or studying in St Helens </w:t>
            </w:r>
            <w:r w:rsidR="00B0692A" w:rsidRPr="678B48CC">
              <w:rPr>
                <w:rFonts w:cs="Arial"/>
                <w:sz w:val="22"/>
                <w:szCs w:val="22"/>
                <w:lang w:eastAsia="en-GB"/>
              </w:rPr>
              <w:t xml:space="preserve">who have been provided with the vitamin D vouchers as part of </w:t>
            </w:r>
            <w:r w:rsidR="00573E2A" w:rsidRPr="678B48CC">
              <w:rPr>
                <w:rFonts w:cs="Arial"/>
                <w:sz w:val="22"/>
                <w:szCs w:val="22"/>
                <w:lang w:eastAsia="en-GB"/>
              </w:rPr>
              <w:t>their</w:t>
            </w:r>
            <w:r w:rsidR="00B0692A" w:rsidRPr="678B48CC">
              <w:rPr>
                <w:rFonts w:cs="Arial"/>
                <w:sz w:val="22"/>
                <w:szCs w:val="22"/>
                <w:lang w:eastAsia="en-GB"/>
              </w:rPr>
              <w:t xml:space="preserve"> Winter Well packs are covered in the programme. </w:t>
            </w:r>
            <w:r w:rsidR="00DF4A17" w:rsidRPr="678B48CC">
              <w:rPr>
                <w:rFonts w:cs="Arial"/>
                <w:sz w:val="22"/>
                <w:szCs w:val="22"/>
                <w:lang w:eastAsia="en-GB"/>
              </w:rPr>
              <w:t>Th</w:t>
            </w:r>
            <w:r w:rsidR="119E54B2" w:rsidRPr="678B48CC">
              <w:rPr>
                <w:rFonts w:cs="Arial"/>
                <w:sz w:val="22"/>
                <w:szCs w:val="22"/>
                <w:lang w:eastAsia="en-GB"/>
              </w:rPr>
              <w:t xml:space="preserve">ese will be targeted towards people who </w:t>
            </w:r>
            <w:proofErr w:type="gramStart"/>
            <w:r w:rsidR="119E54B2" w:rsidRPr="678B48CC">
              <w:rPr>
                <w:rFonts w:cs="Arial"/>
                <w:sz w:val="22"/>
                <w:szCs w:val="22"/>
                <w:lang w:eastAsia="en-GB"/>
              </w:rPr>
              <w:t>are considered to be</w:t>
            </w:r>
            <w:proofErr w:type="gramEnd"/>
            <w:r w:rsidR="119E54B2" w:rsidRPr="678B48CC">
              <w:rPr>
                <w:rFonts w:cs="Arial"/>
                <w:sz w:val="22"/>
                <w:szCs w:val="22"/>
                <w:lang w:eastAsia="en-GB"/>
              </w:rPr>
              <w:t xml:space="preserve"> more likely to experience serious illness over winter, including those aged 65 and over who are living alone.</w:t>
            </w:r>
          </w:p>
          <w:p w14:paraId="31F8B65E" w14:textId="71126A88" w:rsidR="00E21D36" w:rsidRDefault="00E21D36" w:rsidP="00110423">
            <w:pPr>
              <w:rPr>
                <w:rFonts w:cs="Arial"/>
                <w:b/>
                <w:bCs/>
                <w:color w:val="339966"/>
                <w:sz w:val="22"/>
                <w:szCs w:val="22"/>
              </w:rPr>
            </w:pPr>
          </w:p>
          <w:p w14:paraId="6A8DD645" w14:textId="77777777" w:rsidR="00CD0961" w:rsidRPr="00BA6628" w:rsidRDefault="00CD0961" w:rsidP="00110423">
            <w:pPr>
              <w:rPr>
                <w:rFonts w:cs="Arial"/>
                <w:b/>
                <w:bCs/>
                <w:color w:val="339966"/>
                <w:sz w:val="22"/>
                <w:szCs w:val="22"/>
              </w:rPr>
            </w:pPr>
          </w:p>
          <w:p w14:paraId="2D78FBC8" w14:textId="77777777" w:rsidR="00177F15" w:rsidRPr="00BA6628" w:rsidRDefault="00720C62">
            <w:pPr>
              <w:pStyle w:val="ListParagraph"/>
              <w:numPr>
                <w:ilvl w:val="1"/>
                <w:numId w:val="1"/>
              </w:numPr>
              <w:tabs>
                <w:tab w:val="left" w:pos="387"/>
              </w:tabs>
              <w:rPr>
                <w:rFonts w:cs="Arial"/>
                <w:b/>
                <w:bCs/>
                <w:color w:val="339966"/>
                <w:sz w:val="22"/>
                <w:szCs w:val="22"/>
              </w:rPr>
            </w:pPr>
            <w:r w:rsidRPr="00BA6628">
              <w:rPr>
                <w:rFonts w:cs="Arial"/>
                <w:b/>
                <w:bCs/>
                <w:color w:val="339966"/>
                <w:sz w:val="22"/>
                <w:szCs w:val="22"/>
              </w:rPr>
              <w:t>Any A</w:t>
            </w:r>
            <w:r w:rsidR="00177F15" w:rsidRPr="00BA6628">
              <w:rPr>
                <w:rFonts w:cs="Arial"/>
                <w:b/>
                <w:bCs/>
                <w:color w:val="339966"/>
                <w:sz w:val="22"/>
                <w:szCs w:val="22"/>
              </w:rPr>
              <w:t xml:space="preserve">cceptance and </w:t>
            </w:r>
            <w:r w:rsidRPr="00BA6628">
              <w:rPr>
                <w:rFonts w:cs="Arial"/>
                <w:b/>
                <w:bCs/>
                <w:color w:val="339966"/>
                <w:sz w:val="22"/>
                <w:szCs w:val="22"/>
              </w:rPr>
              <w:t>E</w:t>
            </w:r>
            <w:r w:rsidR="00177F15" w:rsidRPr="00BA6628">
              <w:rPr>
                <w:rFonts w:cs="Arial"/>
                <w:b/>
                <w:bCs/>
                <w:color w:val="339966"/>
                <w:sz w:val="22"/>
                <w:szCs w:val="22"/>
              </w:rPr>
              <w:t xml:space="preserve">xclusion </w:t>
            </w:r>
            <w:r w:rsidRPr="00BA6628">
              <w:rPr>
                <w:rFonts w:cs="Arial"/>
                <w:b/>
                <w:bCs/>
                <w:color w:val="339966"/>
                <w:sz w:val="22"/>
                <w:szCs w:val="22"/>
              </w:rPr>
              <w:t>C</w:t>
            </w:r>
            <w:r w:rsidR="00177F15" w:rsidRPr="00BA6628">
              <w:rPr>
                <w:rFonts w:cs="Arial"/>
                <w:b/>
                <w:bCs/>
                <w:color w:val="339966"/>
                <w:sz w:val="22"/>
                <w:szCs w:val="22"/>
              </w:rPr>
              <w:t xml:space="preserve">riteria and </w:t>
            </w:r>
            <w:r w:rsidRPr="00BA6628">
              <w:rPr>
                <w:rFonts w:cs="Arial"/>
                <w:b/>
                <w:bCs/>
                <w:color w:val="339966"/>
                <w:sz w:val="22"/>
                <w:szCs w:val="22"/>
              </w:rPr>
              <w:t>T</w:t>
            </w:r>
            <w:r w:rsidR="00177F15" w:rsidRPr="00BA6628">
              <w:rPr>
                <w:rFonts w:cs="Arial"/>
                <w:b/>
                <w:bCs/>
                <w:color w:val="339966"/>
                <w:sz w:val="22"/>
                <w:szCs w:val="22"/>
              </w:rPr>
              <w:t xml:space="preserve">hresholds </w:t>
            </w:r>
          </w:p>
          <w:p w14:paraId="155FF403" w14:textId="77777777" w:rsidR="00605215" w:rsidRPr="00BA6628" w:rsidRDefault="00605215" w:rsidP="00E21D36">
            <w:pPr>
              <w:pStyle w:val="ListParagraph"/>
              <w:tabs>
                <w:tab w:val="left" w:pos="387"/>
              </w:tabs>
              <w:ind w:left="360"/>
              <w:rPr>
                <w:rFonts w:cs="Arial"/>
                <w:b/>
                <w:bCs/>
                <w:color w:val="339966"/>
                <w:sz w:val="22"/>
                <w:szCs w:val="22"/>
              </w:rPr>
            </w:pPr>
          </w:p>
          <w:p w14:paraId="1D20CE17" w14:textId="77777777" w:rsidR="00E21D36" w:rsidRPr="00BA6628" w:rsidRDefault="00E21D36" w:rsidP="00110423">
            <w:pPr>
              <w:rPr>
                <w:rFonts w:cs="Arial"/>
                <w:b/>
                <w:sz w:val="22"/>
                <w:szCs w:val="22"/>
              </w:rPr>
            </w:pPr>
            <w:r w:rsidRPr="00BA6628">
              <w:rPr>
                <w:rFonts w:cs="Arial"/>
                <w:b/>
                <w:sz w:val="22"/>
                <w:szCs w:val="22"/>
              </w:rPr>
              <w:t>Acceptance:</w:t>
            </w:r>
          </w:p>
          <w:p w14:paraId="0E8F0846" w14:textId="77777777" w:rsidR="00E21D36" w:rsidRPr="00BA6628" w:rsidRDefault="00E21D36" w:rsidP="00110423">
            <w:pPr>
              <w:rPr>
                <w:rFonts w:cs="Arial"/>
                <w:sz w:val="22"/>
                <w:szCs w:val="22"/>
              </w:rPr>
            </w:pPr>
          </w:p>
          <w:p w14:paraId="203D1696" w14:textId="77777777" w:rsidR="008C1F83" w:rsidRPr="00BA6628" w:rsidRDefault="00605215" w:rsidP="00110423">
            <w:pPr>
              <w:rPr>
                <w:rFonts w:cs="Arial"/>
                <w:sz w:val="22"/>
                <w:szCs w:val="22"/>
              </w:rPr>
            </w:pPr>
            <w:r w:rsidRPr="00BA6628">
              <w:rPr>
                <w:rFonts w:cs="Arial"/>
                <w:sz w:val="22"/>
                <w:szCs w:val="22"/>
              </w:rPr>
              <w:t xml:space="preserve">See </w:t>
            </w:r>
            <w:r w:rsidR="00DC2C68" w:rsidRPr="00BA6628">
              <w:rPr>
                <w:rFonts w:cs="Arial"/>
                <w:sz w:val="22"/>
                <w:szCs w:val="22"/>
              </w:rPr>
              <w:t>Above</w:t>
            </w:r>
            <w:r w:rsidR="00E21D36" w:rsidRPr="00BA6628">
              <w:rPr>
                <w:rFonts w:cs="Arial"/>
                <w:sz w:val="22"/>
                <w:szCs w:val="22"/>
              </w:rPr>
              <w:t>.</w:t>
            </w:r>
          </w:p>
          <w:p w14:paraId="629831F6" w14:textId="77777777" w:rsidR="000C6E57" w:rsidRPr="00BA6628" w:rsidRDefault="000C6E57" w:rsidP="00A72BF9">
            <w:pPr>
              <w:pStyle w:val="ListParagraph"/>
              <w:ind w:left="0"/>
              <w:rPr>
                <w:rFonts w:cs="Arial"/>
                <w:sz w:val="22"/>
                <w:szCs w:val="22"/>
              </w:rPr>
            </w:pPr>
          </w:p>
          <w:p w14:paraId="69948BD5" w14:textId="77777777" w:rsidR="004D585C" w:rsidRDefault="008C1F83" w:rsidP="00E21D36">
            <w:pPr>
              <w:pStyle w:val="CommentText"/>
              <w:spacing w:line="240" w:lineRule="auto"/>
              <w:jc w:val="both"/>
              <w:rPr>
                <w:rFonts w:ascii="Arial" w:hAnsi="Arial" w:cs="Arial"/>
                <w:b/>
                <w:sz w:val="22"/>
                <w:szCs w:val="22"/>
              </w:rPr>
            </w:pPr>
            <w:r w:rsidRPr="00BA6628">
              <w:rPr>
                <w:rFonts w:ascii="Arial" w:hAnsi="Arial" w:cs="Arial"/>
                <w:b/>
                <w:sz w:val="22"/>
                <w:szCs w:val="22"/>
              </w:rPr>
              <w:t>Exclusion:</w:t>
            </w:r>
            <w:r w:rsidR="00110423" w:rsidRPr="00BA6628">
              <w:rPr>
                <w:rFonts w:ascii="Arial" w:hAnsi="Arial" w:cs="Arial"/>
                <w:b/>
                <w:sz w:val="22"/>
                <w:szCs w:val="22"/>
              </w:rPr>
              <w:t xml:space="preserve"> </w:t>
            </w:r>
          </w:p>
          <w:p w14:paraId="3E9F8645" w14:textId="59382427" w:rsidR="004D585C" w:rsidRPr="00412A60" w:rsidRDefault="004D585C" w:rsidP="004D585C">
            <w:pPr>
              <w:pStyle w:val="CommentText"/>
              <w:numPr>
                <w:ilvl w:val="0"/>
                <w:numId w:val="18"/>
              </w:numPr>
              <w:spacing w:line="240" w:lineRule="auto"/>
              <w:jc w:val="both"/>
              <w:rPr>
                <w:rFonts w:ascii="Arial" w:hAnsi="Arial" w:cs="Arial"/>
                <w:sz w:val="22"/>
                <w:szCs w:val="22"/>
              </w:rPr>
            </w:pPr>
            <w:r w:rsidRPr="00412A60">
              <w:rPr>
                <w:rFonts w:ascii="Arial" w:hAnsi="Arial" w:cs="Arial"/>
                <w:sz w:val="22"/>
                <w:szCs w:val="22"/>
              </w:rPr>
              <w:t>People who do not reside, work, or study in St Helens, and have not received the Winter Well pack.</w:t>
            </w:r>
          </w:p>
          <w:p w14:paraId="08EEEC65" w14:textId="77777777" w:rsidR="004D585C" w:rsidRPr="004D585C" w:rsidRDefault="004D585C" w:rsidP="004D585C">
            <w:pPr>
              <w:pStyle w:val="CommentText"/>
              <w:numPr>
                <w:ilvl w:val="0"/>
                <w:numId w:val="18"/>
              </w:numPr>
              <w:spacing w:line="240" w:lineRule="auto"/>
              <w:jc w:val="both"/>
              <w:rPr>
                <w:rFonts w:ascii="Arial" w:hAnsi="Arial" w:cs="Arial"/>
                <w:sz w:val="22"/>
                <w:szCs w:val="22"/>
              </w:rPr>
            </w:pPr>
            <w:r w:rsidRPr="004D585C">
              <w:rPr>
                <w:rFonts w:ascii="Arial" w:hAnsi="Arial" w:cs="Arial"/>
                <w:sz w:val="22"/>
                <w:szCs w:val="22"/>
              </w:rPr>
              <w:t xml:space="preserve">Patients with hypercalcaemia (high levels of calcium in the blood) or metastatic calcification (deposits of calcium in otherwise normal tissue). </w:t>
            </w:r>
          </w:p>
          <w:p w14:paraId="50EFA4AC" w14:textId="77777777" w:rsidR="004D585C" w:rsidRPr="004D585C" w:rsidRDefault="004D585C" w:rsidP="004D585C">
            <w:pPr>
              <w:pStyle w:val="CommentText"/>
              <w:numPr>
                <w:ilvl w:val="0"/>
                <w:numId w:val="18"/>
              </w:numPr>
              <w:spacing w:line="240" w:lineRule="auto"/>
              <w:jc w:val="both"/>
              <w:rPr>
                <w:rFonts w:ascii="Arial" w:hAnsi="Arial" w:cs="Arial"/>
                <w:sz w:val="22"/>
                <w:szCs w:val="22"/>
              </w:rPr>
            </w:pPr>
            <w:r w:rsidRPr="004D585C">
              <w:rPr>
                <w:rFonts w:ascii="Arial" w:hAnsi="Arial" w:cs="Arial"/>
                <w:sz w:val="22"/>
                <w:szCs w:val="22"/>
              </w:rPr>
              <w:t xml:space="preserve">Caution must also be taken if the patient has a diagnosis of sarcoidosis. </w:t>
            </w:r>
          </w:p>
          <w:p w14:paraId="148D4D5A" w14:textId="77777777" w:rsidR="004D585C" w:rsidRPr="004D585C" w:rsidRDefault="004D585C" w:rsidP="004D585C">
            <w:pPr>
              <w:pStyle w:val="CommentText"/>
              <w:numPr>
                <w:ilvl w:val="0"/>
                <w:numId w:val="18"/>
              </w:numPr>
              <w:spacing w:line="240" w:lineRule="auto"/>
              <w:jc w:val="both"/>
              <w:rPr>
                <w:rFonts w:ascii="Arial" w:hAnsi="Arial" w:cs="Arial"/>
                <w:sz w:val="22"/>
                <w:szCs w:val="22"/>
              </w:rPr>
            </w:pPr>
            <w:r w:rsidRPr="004D585C">
              <w:rPr>
                <w:rFonts w:ascii="Arial" w:hAnsi="Arial" w:cs="Arial"/>
                <w:sz w:val="22"/>
                <w:szCs w:val="22"/>
              </w:rPr>
              <w:t>If the patient is already taking vitamin D in any other form (e.g., certain Calcium preparations contain vitamin D)</w:t>
            </w:r>
          </w:p>
          <w:p w14:paraId="0BDD3AA2" w14:textId="77777777" w:rsidR="004D585C" w:rsidRPr="004D585C" w:rsidRDefault="004D585C" w:rsidP="004D585C">
            <w:pPr>
              <w:pStyle w:val="CommentText"/>
              <w:numPr>
                <w:ilvl w:val="0"/>
                <w:numId w:val="18"/>
              </w:numPr>
              <w:spacing w:line="240" w:lineRule="auto"/>
              <w:jc w:val="both"/>
              <w:rPr>
                <w:rFonts w:ascii="Arial" w:hAnsi="Arial" w:cs="Arial"/>
                <w:sz w:val="22"/>
                <w:szCs w:val="22"/>
              </w:rPr>
            </w:pPr>
            <w:r w:rsidRPr="004D585C">
              <w:rPr>
                <w:rFonts w:ascii="Arial" w:hAnsi="Arial" w:cs="Arial"/>
                <w:sz w:val="22"/>
                <w:szCs w:val="22"/>
              </w:rPr>
              <w:t xml:space="preserve">Patients with Chronic kidney disease should have their native Vitamin D replaced following advice from a renal consultant regarding replacement and monitoring requirements. Check if a renal patient and if so, do not supply via this scheme. </w:t>
            </w:r>
          </w:p>
          <w:p w14:paraId="411F1086" w14:textId="77777777" w:rsidR="004D585C" w:rsidRPr="004D585C" w:rsidRDefault="60546D2A" w:rsidP="004D585C">
            <w:pPr>
              <w:pStyle w:val="CommentText"/>
              <w:numPr>
                <w:ilvl w:val="0"/>
                <w:numId w:val="18"/>
              </w:numPr>
              <w:spacing w:line="240" w:lineRule="auto"/>
              <w:jc w:val="both"/>
              <w:rPr>
                <w:rFonts w:ascii="Arial" w:hAnsi="Arial" w:cs="Arial"/>
                <w:sz w:val="22"/>
                <w:szCs w:val="22"/>
              </w:rPr>
            </w:pPr>
            <w:r w:rsidRPr="05C95E3E">
              <w:rPr>
                <w:rFonts w:ascii="Arial" w:hAnsi="Arial" w:cs="Arial"/>
                <w:sz w:val="22"/>
                <w:szCs w:val="22"/>
              </w:rPr>
              <w:t>Long-term use of anti-epileptic drugs (</w:t>
            </w:r>
            <w:proofErr w:type="gramStart"/>
            <w:r w:rsidRPr="05C95E3E">
              <w:rPr>
                <w:rFonts w:ascii="Arial" w:hAnsi="Arial" w:cs="Arial"/>
                <w:sz w:val="22"/>
                <w:szCs w:val="22"/>
              </w:rPr>
              <w:t>in particular carbamazepine</w:t>
            </w:r>
            <w:proofErr w:type="gramEnd"/>
            <w:r w:rsidRPr="05C95E3E">
              <w:rPr>
                <w:rFonts w:ascii="Arial" w:hAnsi="Arial" w:cs="Arial"/>
                <w:sz w:val="22"/>
                <w:szCs w:val="22"/>
              </w:rPr>
              <w:t>, phenytoin, phenobarbital, primidone and sodium valproate) is associated with decreased bone mineral density that may lead to osteopenia, osteoporosis, and increased fractures in at-risk patients. Vitamin D status should be assessed by their usual doctor and not be supplied via this scheme.</w:t>
            </w:r>
          </w:p>
          <w:p w14:paraId="5C904C27" w14:textId="77777777" w:rsidR="004D585C" w:rsidRDefault="004D585C" w:rsidP="00AD576C">
            <w:pPr>
              <w:tabs>
                <w:tab w:val="left" w:pos="356"/>
              </w:tabs>
              <w:rPr>
                <w:rFonts w:cs="Arial"/>
                <w:b/>
                <w:bCs/>
                <w:color w:val="339966"/>
                <w:sz w:val="22"/>
                <w:szCs w:val="22"/>
              </w:rPr>
            </w:pPr>
          </w:p>
          <w:p w14:paraId="70B7ADB0" w14:textId="77777777" w:rsidR="00CD0961" w:rsidRDefault="00CD0961" w:rsidP="00AD576C">
            <w:pPr>
              <w:tabs>
                <w:tab w:val="left" w:pos="356"/>
              </w:tabs>
              <w:rPr>
                <w:rFonts w:cs="Arial"/>
                <w:b/>
                <w:bCs/>
                <w:color w:val="339966"/>
                <w:sz w:val="22"/>
                <w:szCs w:val="22"/>
              </w:rPr>
            </w:pPr>
          </w:p>
          <w:p w14:paraId="5F0BB21D" w14:textId="5E620070" w:rsidR="00B50967" w:rsidRPr="00BA6628" w:rsidRDefault="00AD576C" w:rsidP="00AD576C">
            <w:pPr>
              <w:tabs>
                <w:tab w:val="left" w:pos="356"/>
              </w:tabs>
              <w:rPr>
                <w:rFonts w:cs="Arial"/>
                <w:b/>
                <w:bCs/>
                <w:color w:val="339966"/>
                <w:sz w:val="22"/>
                <w:szCs w:val="22"/>
              </w:rPr>
            </w:pPr>
            <w:r w:rsidRPr="00BA6628">
              <w:rPr>
                <w:rFonts w:cs="Arial"/>
                <w:b/>
                <w:bCs/>
                <w:color w:val="339966"/>
                <w:sz w:val="22"/>
                <w:szCs w:val="22"/>
              </w:rPr>
              <w:t xml:space="preserve">3.5 </w:t>
            </w:r>
            <w:r w:rsidR="00177F15" w:rsidRPr="00BA6628">
              <w:rPr>
                <w:rFonts w:cs="Arial"/>
                <w:b/>
                <w:bCs/>
                <w:color w:val="339966"/>
                <w:sz w:val="22"/>
                <w:szCs w:val="22"/>
              </w:rPr>
              <w:t xml:space="preserve">Interdependencies with </w:t>
            </w:r>
            <w:r w:rsidR="00B50967" w:rsidRPr="00BA6628">
              <w:rPr>
                <w:rFonts w:cs="Arial"/>
                <w:b/>
                <w:bCs/>
                <w:color w:val="339966"/>
                <w:sz w:val="22"/>
                <w:szCs w:val="22"/>
              </w:rPr>
              <w:t>Other S</w:t>
            </w:r>
            <w:r w:rsidR="00177F15" w:rsidRPr="00BA6628">
              <w:rPr>
                <w:rFonts w:cs="Arial"/>
                <w:b/>
                <w:bCs/>
                <w:color w:val="339966"/>
                <w:sz w:val="22"/>
                <w:szCs w:val="22"/>
              </w:rPr>
              <w:t>ervices</w:t>
            </w:r>
          </w:p>
          <w:p w14:paraId="5EBCDFD2" w14:textId="77777777" w:rsidR="008B2E49" w:rsidRPr="00BA6628" w:rsidRDefault="008B2E49" w:rsidP="008C2B4A">
            <w:pPr>
              <w:pStyle w:val="ListParagraph"/>
              <w:ind w:left="0"/>
              <w:rPr>
                <w:rFonts w:cs="Arial"/>
                <w:b/>
                <w:bCs/>
                <w:color w:val="339966"/>
                <w:sz w:val="22"/>
                <w:szCs w:val="22"/>
              </w:rPr>
            </w:pPr>
          </w:p>
          <w:p w14:paraId="0EE35A9A" w14:textId="7879E322" w:rsidR="00445455" w:rsidRPr="00BA6628" w:rsidRDefault="00445455" w:rsidP="00110423">
            <w:pPr>
              <w:rPr>
                <w:rFonts w:cs="Arial"/>
                <w:bCs/>
                <w:color w:val="000000" w:themeColor="text1"/>
                <w:sz w:val="22"/>
                <w:szCs w:val="22"/>
              </w:rPr>
            </w:pPr>
            <w:r w:rsidRPr="00BA6628">
              <w:rPr>
                <w:rFonts w:cs="Arial"/>
                <w:bCs/>
                <w:color w:val="000000" w:themeColor="text1"/>
                <w:sz w:val="22"/>
                <w:szCs w:val="22"/>
              </w:rPr>
              <w:t>The pharmacy will work closely with the St Helens C</w:t>
            </w:r>
            <w:r w:rsidR="00802717" w:rsidRPr="00BA6628">
              <w:rPr>
                <w:rFonts w:cs="Arial"/>
                <w:bCs/>
                <w:color w:val="000000" w:themeColor="text1"/>
                <w:sz w:val="22"/>
                <w:szCs w:val="22"/>
              </w:rPr>
              <w:t>ouncil</w:t>
            </w:r>
            <w:r w:rsidRPr="00BA6628">
              <w:rPr>
                <w:rFonts w:cs="Arial"/>
                <w:bCs/>
                <w:color w:val="000000" w:themeColor="text1"/>
                <w:sz w:val="22"/>
                <w:szCs w:val="22"/>
              </w:rPr>
              <w:t xml:space="preserve"> in delivering their services. </w:t>
            </w:r>
            <w:r w:rsidR="0084370B" w:rsidRPr="00BA6628">
              <w:rPr>
                <w:rFonts w:cs="Arial"/>
                <w:bCs/>
                <w:color w:val="000000" w:themeColor="text1"/>
                <w:sz w:val="22"/>
                <w:szCs w:val="22"/>
              </w:rPr>
              <w:t xml:space="preserve"> </w:t>
            </w:r>
            <w:r w:rsidRPr="00BA6628">
              <w:rPr>
                <w:rFonts w:cs="Arial"/>
                <w:bCs/>
                <w:color w:val="000000" w:themeColor="text1"/>
                <w:sz w:val="22"/>
                <w:szCs w:val="22"/>
              </w:rPr>
              <w:t xml:space="preserve">The </w:t>
            </w:r>
            <w:r w:rsidR="000C6E57" w:rsidRPr="00BA6628">
              <w:rPr>
                <w:rFonts w:cs="Arial"/>
                <w:bCs/>
                <w:color w:val="000000" w:themeColor="text1"/>
                <w:sz w:val="22"/>
                <w:szCs w:val="22"/>
              </w:rPr>
              <w:t xml:space="preserve">obligations of each service </w:t>
            </w:r>
            <w:r w:rsidR="00110423" w:rsidRPr="00BA6628">
              <w:rPr>
                <w:rFonts w:cs="Arial"/>
                <w:bCs/>
                <w:color w:val="000000" w:themeColor="text1"/>
                <w:sz w:val="22"/>
                <w:szCs w:val="22"/>
              </w:rPr>
              <w:t>are outlined below.</w:t>
            </w:r>
          </w:p>
          <w:p w14:paraId="6FAA7FA6" w14:textId="77777777" w:rsidR="00110423" w:rsidRPr="00BA6628" w:rsidRDefault="00110423" w:rsidP="00110423">
            <w:pPr>
              <w:rPr>
                <w:rFonts w:cs="Arial"/>
                <w:bCs/>
                <w:color w:val="000000" w:themeColor="text1"/>
                <w:sz w:val="22"/>
                <w:szCs w:val="22"/>
              </w:rPr>
            </w:pPr>
          </w:p>
          <w:p w14:paraId="7AEFF498" w14:textId="3115C404" w:rsidR="00445455" w:rsidRDefault="00445455" w:rsidP="00110423">
            <w:pPr>
              <w:suppressAutoHyphens w:val="0"/>
              <w:rPr>
                <w:rFonts w:cs="Arial"/>
                <w:b/>
                <w:sz w:val="22"/>
                <w:szCs w:val="22"/>
              </w:rPr>
            </w:pPr>
            <w:r w:rsidRPr="00BA6628">
              <w:rPr>
                <w:rFonts w:cs="Arial"/>
                <w:b/>
                <w:sz w:val="22"/>
                <w:szCs w:val="22"/>
              </w:rPr>
              <w:t xml:space="preserve">Obligations of </w:t>
            </w:r>
            <w:r w:rsidR="00B0692A" w:rsidRPr="00BA6628">
              <w:rPr>
                <w:rFonts w:cs="Arial"/>
                <w:b/>
                <w:sz w:val="22"/>
                <w:szCs w:val="22"/>
              </w:rPr>
              <w:t>the</w:t>
            </w:r>
            <w:r w:rsidR="00434B73" w:rsidRPr="00BA6628">
              <w:rPr>
                <w:rFonts w:cs="Arial"/>
                <w:b/>
                <w:sz w:val="22"/>
                <w:szCs w:val="22"/>
              </w:rPr>
              <w:t xml:space="preserve"> </w:t>
            </w:r>
            <w:r w:rsidRPr="00BA6628">
              <w:rPr>
                <w:rFonts w:cs="Arial"/>
                <w:b/>
                <w:sz w:val="22"/>
                <w:szCs w:val="22"/>
              </w:rPr>
              <w:t>Pharmacy</w:t>
            </w:r>
          </w:p>
          <w:p w14:paraId="4408EEBD" w14:textId="4AF2FA1A" w:rsidR="00F80645" w:rsidRPr="00F80645" w:rsidRDefault="00F80645" w:rsidP="00F80645">
            <w:pPr>
              <w:numPr>
                <w:ilvl w:val="1"/>
                <w:numId w:val="9"/>
              </w:numPr>
              <w:suppressAutoHyphens w:val="0"/>
              <w:rPr>
                <w:sz w:val="22"/>
                <w:szCs w:val="22"/>
              </w:rPr>
            </w:pPr>
            <w:r w:rsidRPr="12AB9A3A">
              <w:rPr>
                <w:sz w:val="22"/>
                <w:szCs w:val="22"/>
              </w:rPr>
              <w:t xml:space="preserve">The pharmacy must supply Vitamin D in exchange for the voucher in accordance with the protocol. Vitamin D must be supplied when the voucher is presented  </w:t>
            </w:r>
          </w:p>
          <w:p w14:paraId="25BBAD5E" w14:textId="77777777" w:rsidR="00F80645" w:rsidRPr="00F80645" w:rsidRDefault="00F80645" w:rsidP="00F80645">
            <w:pPr>
              <w:numPr>
                <w:ilvl w:val="1"/>
                <w:numId w:val="9"/>
              </w:numPr>
              <w:suppressAutoHyphens w:val="0"/>
              <w:rPr>
                <w:sz w:val="22"/>
                <w:szCs w:val="22"/>
              </w:rPr>
            </w:pPr>
            <w:r w:rsidRPr="00F80645">
              <w:rPr>
                <w:sz w:val="22"/>
                <w:szCs w:val="22"/>
              </w:rPr>
              <w:t>Pharmacy staff responsible for the service must read all the information in Appendix O, including the links to BNF and NICE guidelines.</w:t>
            </w:r>
          </w:p>
          <w:p w14:paraId="2BF6A76C" w14:textId="77777777" w:rsidR="00F80645" w:rsidRPr="00F80645" w:rsidRDefault="00F80645" w:rsidP="00F80645">
            <w:pPr>
              <w:numPr>
                <w:ilvl w:val="1"/>
                <w:numId w:val="9"/>
              </w:numPr>
              <w:suppressAutoHyphens w:val="0"/>
              <w:rPr>
                <w:sz w:val="22"/>
                <w:szCs w:val="22"/>
              </w:rPr>
            </w:pPr>
            <w:r w:rsidRPr="00F80645">
              <w:rPr>
                <w:sz w:val="22"/>
                <w:szCs w:val="22"/>
              </w:rPr>
              <w:t>The pharmacy will co-operate with any locally agreed audits and assessment of service user experience.</w:t>
            </w:r>
          </w:p>
          <w:p w14:paraId="30819D85" w14:textId="77777777" w:rsidR="00F80645" w:rsidRPr="00F80645" w:rsidRDefault="00F80645" w:rsidP="00F80645">
            <w:pPr>
              <w:numPr>
                <w:ilvl w:val="1"/>
                <w:numId w:val="9"/>
              </w:numPr>
              <w:suppressAutoHyphens w:val="0"/>
              <w:rPr>
                <w:sz w:val="22"/>
                <w:szCs w:val="22"/>
              </w:rPr>
            </w:pPr>
            <w:r w:rsidRPr="00F80645">
              <w:rPr>
                <w:sz w:val="22"/>
                <w:szCs w:val="22"/>
              </w:rPr>
              <w:t>The pharmacy will co-operate with any audit of the voucher service.</w:t>
            </w:r>
          </w:p>
          <w:p w14:paraId="2B0D9B3B" w14:textId="77777777" w:rsidR="00F80645" w:rsidRPr="00BA6628" w:rsidRDefault="00F80645" w:rsidP="00110423">
            <w:pPr>
              <w:suppressAutoHyphens w:val="0"/>
              <w:rPr>
                <w:rFonts w:cs="Arial"/>
                <w:b/>
                <w:sz w:val="22"/>
                <w:szCs w:val="22"/>
              </w:rPr>
            </w:pPr>
          </w:p>
          <w:p w14:paraId="12750C4D" w14:textId="77777777" w:rsidR="00E67C96" w:rsidRDefault="00E67C96" w:rsidP="00110423">
            <w:pPr>
              <w:tabs>
                <w:tab w:val="left" w:pos="639"/>
              </w:tabs>
              <w:suppressAutoHyphens w:val="0"/>
              <w:rPr>
                <w:sz w:val="22"/>
                <w:szCs w:val="22"/>
              </w:rPr>
            </w:pPr>
          </w:p>
          <w:p w14:paraId="5A590B66" w14:textId="1C981BF3" w:rsidR="00445455" w:rsidRPr="00BA6628" w:rsidRDefault="000C6E57" w:rsidP="00110423">
            <w:pPr>
              <w:tabs>
                <w:tab w:val="left" w:pos="639"/>
              </w:tabs>
              <w:suppressAutoHyphens w:val="0"/>
              <w:rPr>
                <w:rFonts w:cs="Arial"/>
                <w:sz w:val="22"/>
                <w:szCs w:val="22"/>
              </w:rPr>
            </w:pPr>
            <w:r w:rsidRPr="00BA6628">
              <w:rPr>
                <w:rFonts w:cs="Arial"/>
                <w:b/>
                <w:sz w:val="22"/>
                <w:szCs w:val="22"/>
              </w:rPr>
              <w:t>Obligations</w:t>
            </w:r>
            <w:r w:rsidRPr="00BA6628">
              <w:rPr>
                <w:rFonts w:cs="Arial"/>
                <w:sz w:val="22"/>
                <w:szCs w:val="22"/>
              </w:rPr>
              <w:t xml:space="preserve"> </w:t>
            </w:r>
            <w:r w:rsidRPr="00BA6628">
              <w:rPr>
                <w:rFonts w:cs="Arial"/>
                <w:b/>
                <w:sz w:val="22"/>
                <w:szCs w:val="22"/>
              </w:rPr>
              <w:t xml:space="preserve">of the Council </w:t>
            </w:r>
          </w:p>
          <w:p w14:paraId="2517300F" w14:textId="67DE2697" w:rsidR="00F06F72" w:rsidRPr="00BA6628" w:rsidRDefault="00F06F72">
            <w:pPr>
              <w:numPr>
                <w:ilvl w:val="1"/>
                <w:numId w:val="4"/>
              </w:numPr>
              <w:suppressAutoHyphens w:val="0"/>
              <w:rPr>
                <w:sz w:val="22"/>
                <w:szCs w:val="22"/>
              </w:rPr>
            </w:pPr>
            <w:r w:rsidRPr="00BA6628">
              <w:rPr>
                <w:sz w:val="22"/>
                <w:szCs w:val="22"/>
              </w:rPr>
              <w:t xml:space="preserve">All materials required </w:t>
            </w:r>
            <w:r w:rsidR="007E2E1C" w:rsidRPr="00BA6628">
              <w:rPr>
                <w:sz w:val="22"/>
                <w:szCs w:val="22"/>
              </w:rPr>
              <w:t xml:space="preserve">including leaflets and protocols </w:t>
            </w:r>
            <w:r w:rsidRPr="00BA6628">
              <w:rPr>
                <w:sz w:val="22"/>
                <w:szCs w:val="22"/>
              </w:rPr>
              <w:t xml:space="preserve">will be supplied free of charge to the pharmacy by </w:t>
            </w:r>
            <w:r w:rsidR="00AE49B6" w:rsidRPr="00BA6628">
              <w:rPr>
                <w:sz w:val="22"/>
                <w:szCs w:val="22"/>
              </w:rPr>
              <w:t>S</w:t>
            </w:r>
            <w:r w:rsidR="002E1DC3" w:rsidRPr="00BA6628">
              <w:rPr>
                <w:sz w:val="22"/>
                <w:szCs w:val="22"/>
              </w:rPr>
              <w:t xml:space="preserve">t Helens </w:t>
            </w:r>
            <w:r w:rsidR="00573E2A" w:rsidRPr="00BA6628">
              <w:rPr>
                <w:sz w:val="22"/>
                <w:szCs w:val="22"/>
              </w:rPr>
              <w:t>Council</w:t>
            </w:r>
          </w:p>
          <w:p w14:paraId="059B676D" w14:textId="1ED8B70A" w:rsidR="00F06F72" w:rsidRPr="006105B0" w:rsidRDefault="37380643">
            <w:pPr>
              <w:numPr>
                <w:ilvl w:val="1"/>
                <w:numId w:val="4"/>
              </w:numPr>
              <w:suppressAutoHyphens w:val="0"/>
              <w:rPr>
                <w:sz w:val="22"/>
                <w:szCs w:val="22"/>
              </w:rPr>
            </w:pPr>
            <w:r w:rsidRPr="05C95E3E">
              <w:rPr>
                <w:sz w:val="22"/>
                <w:szCs w:val="22"/>
              </w:rPr>
              <w:t xml:space="preserve">The Council will reimburse the pharmacy for the total cost of </w:t>
            </w:r>
            <w:r w:rsidR="604BA993" w:rsidRPr="05C95E3E">
              <w:rPr>
                <w:sz w:val="22"/>
                <w:szCs w:val="22"/>
              </w:rPr>
              <w:t>vitamin D</w:t>
            </w:r>
            <w:r w:rsidR="7BE01B52" w:rsidRPr="05C95E3E">
              <w:rPr>
                <w:sz w:val="22"/>
                <w:szCs w:val="22"/>
              </w:rPr>
              <w:t xml:space="preserve"> </w:t>
            </w:r>
            <w:r w:rsidRPr="05C95E3E">
              <w:rPr>
                <w:sz w:val="22"/>
                <w:szCs w:val="22"/>
              </w:rPr>
              <w:t xml:space="preserve">including VAT plus a </w:t>
            </w:r>
            <w:r w:rsidR="366836E7" w:rsidRPr="05C95E3E">
              <w:rPr>
                <w:sz w:val="22"/>
                <w:szCs w:val="22"/>
              </w:rPr>
              <w:t xml:space="preserve">supply </w:t>
            </w:r>
            <w:r w:rsidRPr="05C95E3E">
              <w:rPr>
                <w:sz w:val="22"/>
                <w:szCs w:val="22"/>
              </w:rPr>
              <w:t>fee for each voucher processed</w:t>
            </w:r>
            <w:r w:rsidR="3DF3154E" w:rsidRPr="05C95E3E">
              <w:rPr>
                <w:sz w:val="22"/>
                <w:szCs w:val="22"/>
              </w:rPr>
              <w:t xml:space="preserve"> (see Appendix E)</w:t>
            </w:r>
            <w:r w:rsidR="46A5F797" w:rsidRPr="05C95E3E">
              <w:rPr>
                <w:sz w:val="22"/>
                <w:szCs w:val="22"/>
              </w:rPr>
              <w:t>.</w:t>
            </w:r>
          </w:p>
          <w:p w14:paraId="0E936872" w14:textId="77777777" w:rsidR="00E67C96" w:rsidRPr="00E67C96" w:rsidRDefault="00E67C96" w:rsidP="00E67C96">
            <w:pPr>
              <w:numPr>
                <w:ilvl w:val="1"/>
                <w:numId w:val="4"/>
              </w:numPr>
              <w:suppressAutoHyphens w:val="0"/>
              <w:rPr>
                <w:sz w:val="22"/>
                <w:szCs w:val="22"/>
              </w:rPr>
            </w:pPr>
            <w:r w:rsidRPr="00E67C96">
              <w:rPr>
                <w:sz w:val="22"/>
                <w:szCs w:val="22"/>
              </w:rPr>
              <w:lastRenderedPageBreak/>
              <w:t xml:space="preserve">The Council will provide a form (Appendix P) for recording relevant service information for the purposes of audit and claiming payment via </w:t>
            </w:r>
            <w:proofErr w:type="spellStart"/>
            <w:r w:rsidRPr="00E67C96">
              <w:rPr>
                <w:sz w:val="22"/>
                <w:szCs w:val="22"/>
              </w:rPr>
              <w:t>PharmOutcomes</w:t>
            </w:r>
            <w:proofErr w:type="spellEnd"/>
            <w:r w:rsidRPr="00E67C96">
              <w:rPr>
                <w:sz w:val="22"/>
                <w:szCs w:val="22"/>
              </w:rPr>
              <w:t>.</w:t>
            </w:r>
          </w:p>
          <w:p w14:paraId="481A92D6" w14:textId="518F3372" w:rsidR="00E67C96" w:rsidRDefault="00E67C96" w:rsidP="00E67C96">
            <w:pPr>
              <w:numPr>
                <w:ilvl w:val="1"/>
                <w:numId w:val="4"/>
              </w:numPr>
              <w:suppressAutoHyphens w:val="0"/>
              <w:rPr>
                <w:sz w:val="22"/>
                <w:szCs w:val="22"/>
              </w:rPr>
            </w:pPr>
            <w:r w:rsidRPr="00E67C96">
              <w:rPr>
                <w:sz w:val="22"/>
                <w:szCs w:val="22"/>
              </w:rPr>
              <w:t>The St Helens Public Health team will be responsible for the promotion of the service locally including the development of publicity materials.</w:t>
            </w:r>
          </w:p>
          <w:p w14:paraId="0EE813F0" w14:textId="77777777" w:rsidR="00CD0961" w:rsidRPr="00E67C96" w:rsidRDefault="00CD0961" w:rsidP="00CD0961">
            <w:pPr>
              <w:suppressAutoHyphens w:val="0"/>
              <w:rPr>
                <w:sz w:val="22"/>
                <w:szCs w:val="22"/>
              </w:rPr>
            </w:pPr>
          </w:p>
          <w:p w14:paraId="125E4AA9" w14:textId="77777777" w:rsidR="00523BD7" w:rsidRPr="00BA6628" w:rsidRDefault="00523BD7" w:rsidP="00AD576C">
            <w:pPr>
              <w:suppressAutoHyphens w:val="0"/>
              <w:ind w:left="360"/>
              <w:rPr>
                <w:sz w:val="22"/>
                <w:szCs w:val="22"/>
              </w:rPr>
            </w:pPr>
          </w:p>
          <w:p w14:paraId="4662F53C" w14:textId="77777777" w:rsidR="008B2E49" w:rsidRPr="00BA6628" w:rsidRDefault="00B50967">
            <w:pPr>
              <w:pStyle w:val="ListParagraph"/>
              <w:numPr>
                <w:ilvl w:val="1"/>
                <w:numId w:val="11"/>
              </w:numPr>
              <w:tabs>
                <w:tab w:val="left" w:pos="356"/>
              </w:tabs>
              <w:rPr>
                <w:rFonts w:cs="Arial"/>
                <w:b/>
                <w:bCs/>
                <w:color w:val="339966"/>
                <w:sz w:val="22"/>
                <w:szCs w:val="22"/>
              </w:rPr>
            </w:pPr>
            <w:r w:rsidRPr="00BA6628">
              <w:rPr>
                <w:rFonts w:cs="Arial"/>
                <w:b/>
                <w:bCs/>
                <w:color w:val="339966"/>
                <w:sz w:val="22"/>
                <w:szCs w:val="22"/>
              </w:rPr>
              <w:t>Any Activity Planning A</w:t>
            </w:r>
            <w:r w:rsidR="00177F15" w:rsidRPr="00BA6628">
              <w:rPr>
                <w:rFonts w:cs="Arial"/>
                <w:b/>
                <w:bCs/>
                <w:color w:val="339966"/>
                <w:sz w:val="22"/>
                <w:szCs w:val="22"/>
              </w:rPr>
              <w:t>ssumptions</w:t>
            </w:r>
          </w:p>
          <w:p w14:paraId="5D66CF58" w14:textId="77777777" w:rsidR="00177F15" w:rsidRPr="00BA6628" w:rsidRDefault="00177F15" w:rsidP="00AD576C">
            <w:pPr>
              <w:pStyle w:val="ListParagraph"/>
              <w:tabs>
                <w:tab w:val="left" w:pos="356"/>
              </w:tabs>
              <w:ind w:left="360"/>
              <w:rPr>
                <w:rFonts w:cs="Arial"/>
                <w:b/>
                <w:bCs/>
                <w:color w:val="339966"/>
                <w:sz w:val="22"/>
                <w:szCs w:val="22"/>
              </w:rPr>
            </w:pPr>
            <w:r w:rsidRPr="00BA6628">
              <w:rPr>
                <w:rFonts w:eastAsia="MS ??" w:cs="Arial"/>
                <w:bCs/>
                <w:sz w:val="22"/>
                <w:szCs w:val="22"/>
              </w:rPr>
              <w:t xml:space="preserve"> </w:t>
            </w:r>
          </w:p>
          <w:p w14:paraId="5041B8A3" w14:textId="131681A7" w:rsidR="00F06F72" w:rsidRDefault="00A32F88" w:rsidP="00805FF9">
            <w:pPr>
              <w:pStyle w:val="BodyText"/>
              <w:jc w:val="both"/>
              <w:rPr>
                <w:bCs/>
              </w:rPr>
            </w:pPr>
            <w:r w:rsidRPr="00BA6628">
              <w:rPr>
                <w:bCs/>
              </w:rPr>
              <w:t>There are no fixed targets for the contract</w:t>
            </w:r>
            <w:r w:rsidR="00167BCA" w:rsidRPr="00BA6628">
              <w:rPr>
                <w:bCs/>
              </w:rPr>
              <w:t>,</w:t>
            </w:r>
            <w:r w:rsidR="00273B4C" w:rsidRPr="00BA6628">
              <w:rPr>
                <w:bCs/>
              </w:rPr>
              <w:t xml:space="preserve"> </w:t>
            </w:r>
            <w:r w:rsidRPr="00BA6628">
              <w:rPr>
                <w:bCs/>
              </w:rPr>
              <w:t>however</w:t>
            </w:r>
            <w:r w:rsidR="00273B4C" w:rsidRPr="00BA6628">
              <w:rPr>
                <w:bCs/>
              </w:rPr>
              <w:t>,</w:t>
            </w:r>
            <w:r w:rsidRPr="00BA6628">
              <w:rPr>
                <w:bCs/>
              </w:rPr>
              <w:t xml:space="preserve"> each contracted pharmacy should actively promote and signpost </w:t>
            </w:r>
            <w:r w:rsidR="00B0692A" w:rsidRPr="00BA6628">
              <w:rPr>
                <w:bCs/>
              </w:rPr>
              <w:t>people to taking vitamin D in the winter as opportunities arise.</w:t>
            </w:r>
          </w:p>
          <w:p w14:paraId="002254B6" w14:textId="77777777" w:rsidR="006105B0" w:rsidRDefault="006105B0" w:rsidP="00805FF9">
            <w:pPr>
              <w:pStyle w:val="BodyText"/>
              <w:jc w:val="both"/>
              <w:rPr>
                <w:bCs/>
              </w:rPr>
            </w:pPr>
          </w:p>
          <w:p w14:paraId="4C2D46EC" w14:textId="618D2DC9" w:rsidR="0097247C" w:rsidRPr="00BA6628" w:rsidRDefault="0097247C" w:rsidP="00805FF9">
            <w:pPr>
              <w:pStyle w:val="BodyText"/>
              <w:jc w:val="both"/>
              <w:rPr>
                <w:bCs/>
              </w:rPr>
            </w:pPr>
          </w:p>
        </w:tc>
      </w:tr>
      <w:tr w:rsidR="00177F15" w:rsidRPr="00BA6628" w14:paraId="2F8FB57A"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666666"/>
          </w:tcPr>
          <w:p w14:paraId="1BD0F5A5" w14:textId="77777777" w:rsidR="00177F15" w:rsidRPr="00BA6628" w:rsidRDefault="00177F15" w:rsidP="00110423">
            <w:pPr>
              <w:pStyle w:val="BodyText"/>
              <w:jc w:val="both"/>
              <w:rPr>
                <w:color w:val="FFFFFF"/>
              </w:rPr>
            </w:pPr>
          </w:p>
          <w:p w14:paraId="3A6C6F05" w14:textId="77777777" w:rsidR="00177F15" w:rsidRPr="00BA6628" w:rsidRDefault="00177F15" w:rsidP="00110423">
            <w:pPr>
              <w:pStyle w:val="BodyText"/>
              <w:jc w:val="both"/>
              <w:rPr>
                <w:color w:val="FFFFFF" w:themeColor="background1"/>
              </w:rPr>
            </w:pPr>
            <w:r w:rsidRPr="00BA6628">
              <w:rPr>
                <w:color w:val="FFFFFF" w:themeColor="background1"/>
              </w:rPr>
              <w:t>4. Applicable Service Standards</w:t>
            </w:r>
            <w:r w:rsidRPr="00BA6628" w:rsidDel="00090017">
              <w:rPr>
                <w:color w:val="FFFFFF" w:themeColor="background1"/>
              </w:rPr>
              <w:t xml:space="preserve"> </w:t>
            </w:r>
          </w:p>
          <w:p w14:paraId="6CEBDD25" w14:textId="77777777" w:rsidR="00177F15" w:rsidRPr="00BA6628" w:rsidRDefault="00177F15" w:rsidP="00110423">
            <w:pPr>
              <w:pStyle w:val="BodyText"/>
              <w:jc w:val="both"/>
              <w:rPr>
                <w:color w:val="FFFFFF"/>
              </w:rPr>
            </w:pPr>
          </w:p>
        </w:tc>
      </w:tr>
      <w:tr w:rsidR="00177F15" w:rsidRPr="00BA6628" w14:paraId="437ABB87" w14:textId="77777777" w:rsidTr="715C5E64">
        <w:trPr>
          <w:trHeight w:val="699"/>
        </w:trPr>
        <w:tc>
          <w:tcPr>
            <w:tcW w:w="9819" w:type="dxa"/>
            <w:tcBorders>
              <w:top w:val="single" w:sz="4" w:space="0" w:color="999999"/>
              <w:left w:val="single" w:sz="4" w:space="0" w:color="999999"/>
              <w:bottom w:val="single" w:sz="4" w:space="0" w:color="999999"/>
              <w:right w:val="single" w:sz="4" w:space="0" w:color="999999"/>
            </w:tcBorders>
          </w:tcPr>
          <w:p w14:paraId="3731C57D" w14:textId="77777777" w:rsidR="00177F15" w:rsidRPr="00BA6628" w:rsidRDefault="00177F15" w:rsidP="00110423">
            <w:pPr>
              <w:pStyle w:val="BodyText"/>
              <w:jc w:val="both"/>
              <w:rPr>
                <w:color w:val="FFFFFF"/>
              </w:rPr>
            </w:pPr>
          </w:p>
          <w:p w14:paraId="0B7220C8" w14:textId="4F6BD912" w:rsidR="00177F15" w:rsidRPr="00BA6628" w:rsidRDefault="00177F15" w:rsidP="00110423">
            <w:pPr>
              <w:rPr>
                <w:rFonts w:cs="Arial"/>
                <w:b/>
                <w:bCs/>
                <w:color w:val="339966"/>
                <w:sz w:val="22"/>
                <w:szCs w:val="22"/>
              </w:rPr>
            </w:pPr>
            <w:r w:rsidRPr="00BA6628">
              <w:rPr>
                <w:rFonts w:cs="Arial"/>
                <w:b/>
                <w:bCs/>
                <w:color w:val="339966"/>
                <w:sz w:val="22"/>
                <w:szCs w:val="22"/>
              </w:rPr>
              <w:t xml:space="preserve">4.1 Applicable </w:t>
            </w:r>
            <w:r w:rsidR="00B50967" w:rsidRPr="00BA6628">
              <w:rPr>
                <w:rFonts w:cs="Arial"/>
                <w:b/>
                <w:bCs/>
                <w:color w:val="339966"/>
                <w:sz w:val="22"/>
                <w:szCs w:val="22"/>
              </w:rPr>
              <w:t>N</w:t>
            </w:r>
            <w:r w:rsidRPr="00BA6628">
              <w:rPr>
                <w:rFonts w:cs="Arial"/>
                <w:b/>
                <w:bCs/>
                <w:color w:val="339966"/>
                <w:sz w:val="22"/>
                <w:szCs w:val="22"/>
              </w:rPr>
              <w:t xml:space="preserve">ational </w:t>
            </w:r>
            <w:r w:rsidR="00B50967" w:rsidRPr="00BA6628">
              <w:rPr>
                <w:rFonts w:cs="Arial"/>
                <w:b/>
                <w:bCs/>
                <w:color w:val="339966"/>
                <w:sz w:val="22"/>
                <w:szCs w:val="22"/>
              </w:rPr>
              <w:t>S</w:t>
            </w:r>
            <w:r w:rsidRPr="00BA6628">
              <w:rPr>
                <w:rFonts w:cs="Arial"/>
                <w:b/>
                <w:bCs/>
                <w:color w:val="339966"/>
                <w:sz w:val="22"/>
                <w:szCs w:val="22"/>
              </w:rPr>
              <w:t xml:space="preserve">tandards </w:t>
            </w:r>
            <w:r w:rsidR="00DC6812" w:rsidRPr="00BA6628">
              <w:rPr>
                <w:rFonts w:cs="Arial"/>
                <w:b/>
                <w:bCs/>
                <w:color w:val="339966"/>
                <w:sz w:val="22"/>
                <w:szCs w:val="22"/>
              </w:rPr>
              <w:t>e.g.</w:t>
            </w:r>
            <w:r w:rsidRPr="00BA6628">
              <w:rPr>
                <w:rFonts w:cs="Arial"/>
                <w:b/>
                <w:bCs/>
                <w:color w:val="339966"/>
                <w:sz w:val="22"/>
                <w:szCs w:val="22"/>
              </w:rPr>
              <w:t xml:space="preserve"> NICE</w:t>
            </w:r>
          </w:p>
          <w:p w14:paraId="3460605D" w14:textId="77777777" w:rsidR="008B2E49" w:rsidRPr="00BA6628" w:rsidRDefault="008B2E49" w:rsidP="00110423">
            <w:pPr>
              <w:rPr>
                <w:rFonts w:cs="Arial"/>
                <w:b/>
                <w:bCs/>
                <w:color w:val="339966"/>
                <w:sz w:val="22"/>
                <w:szCs w:val="22"/>
              </w:rPr>
            </w:pPr>
          </w:p>
          <w:p w14:paraId="705DA31A" w14:textId="27492309" w:rsidR="00DF7F10" w:rsidRPr="00BA6628" w:rsidRDefault="00F26103" w:rsidP="00110423">
            <w:pPr>
              <w:rPr>
                <w:rFonts w:cs="Arial"/>
                <w:bCs/>
                <w:color w:val="000000" w:themeColor="text1"/>
                <w:sz w:val="22"/>
                <w:szCs w:val="22"/>
              </w:rPr>
            </w:pPr>
            <w:r w:rsidRPr="00BA6628">
              <w:rPr>
                <w:rFonts w:cs="Arial"/>
                <w:bCs/>
                <w:color w:val="000000" w:themeColor="text1"/>
                <w:sz w:val="22"/>
                <w:szCs w:val="22"/>
              </w:rPr>
              <w:t>The service will b</w:t>
            </w:r>
            <w:r w:rsidR="00A848D7" w:rsidRPr="00BA6628">
              <w:rPr>
                <w:rFonts w:cs="Arial"/>
                <w:bCs/>
                <w:color w:val="000000" w:themeColor="text1"/>
                <w:sz w:val="22"/>
                <w:szCs w:val="22"/>
              </w:rPr>
              <w:t xml:space="preserve">e compliant with NICE </w:t>
            </w:r>
            <w:r w:rsidR="003B4312" w:rsidRPr="00BA6628">
              <w:rPr>
                <w:rFonts w:cs="Arial"/>
                <w:bCs/>
                <w:color w:val="000000" w:themeColor="text1"/>
                <w:sz w:val="22"/>
                <w:szCs w:val="22"/>
              </w:rPr>
              <w:t>and UK Office for Health Improvement and Disparities (previously Public Health England) guidance of vitamin D supplementation.</w:t>
            </w:r>
          </w:p>
          <w:p w14:paraId="53471C0C" w14:textId="77777777" w:rsidR="00177F15" w:rsidRPr="00BA6628" w:rsidRDefault="00177F15" w:rsidP="00110423">
            <w:pPr>
              <w:rPr>
                <w:rFonts w:cs="Arial"/>
                <w:bCs/>
                <w:color w:val="339966"/>
                <w:sz w:val="22"/>
                <w:szCs w:val="22"/>
              </w:rPr>
            </w:pPr>
          </w:p>
          <w:p w14:paraId="6A0BDF15" w14:textId="77777777" w:rsidR="00FE0D21" w:rsidRPr="00BA6628" w:rsidRDefault="00177F15" w:rsidP="00110423">
            <w:pPr>
              <w:rPr>
                <w:rFonts w:cs="Arial"/>
                <w:b/>
                <w:bCs/>
                <w:color w:val="339966"/>
                <w:sz w:val="22"/>
                <w:szCs w:val="22"/>
              </w:rPr>
            </w:pPr>
            <w:r w:rsidRPr="00BA6628">
              <w:rPr>
                <w:rFonts w:cs="Arial"/>
                <w:b/>
                <w:bCs/>
                <w:color w:val="339966"/>
                <w:sz w:val="22"/>
                <w:szCs w:val="22"/>
              </w:rPr>
              <w:t xml:space="preserve">4.2 Applicable </w:t>
            </w:r>
            <w:r w:rsidR="00B50967" w:rsidRPr="00BA6628">
              <w:rPr>
                <w:rFonts w:cs="Arial"/>
                <w:b/>
                <w:bCs/>
                <w:color w:val="339966"/>
                <w:sz w:val="22"/>
                <w:szCs w:val="22"/>
              </w:rPr>
              <w:t>L</w:t>
            </w:r>
            <w:r w:rsidRPr="00BA6628">
              <w:rPr>
                <w:rFonts w:cs="Arial"/>
                <w:b/>
                <w:bCs/>
                <w:color w:val="339966"/>
                <w:sz w:val="22"/>
                <w:szCs w:val="22"/>
              </w:rPr>
              <w:t xml:space="preserve">ocal </w:t>
            </w:r>
            <w:r w:rsidR="00B50967" w:rsidRPr="00BA6628">
              <w:rPr>
                <w:rFonts w:cs="Arial"/>
                <w:b/>
                <w:bCs/>
                <w:color w:val="339966"/>
                <w:sz w:val="22"/>
                <w:szCs w:val="22"/>
              </w:rPr>
              <w:t>S</w:t>
            </w:r>
            <w:r w:rsidR="00FE0D21" w:rsidRPr="00BA6628">
              <w:rPr>
                <w:rFonts w:cs="Arial"/>
                <w:b/>
                <w:bCs/>
                <w:color w:val="339966"/>
                <w:sz w:val="22"/>
                <w:szCs w:val="22"/>
              </w:rPr>
              <w:t>tandards</w:t>
            </w:r>
          </w:p>
          <w:p w14:paraId="647A29F4" w14:textId="77777777" w:rsidR="008B2E49" w:rsidRPr="00BA6628" w:rsidRDefault="008B2E49" w:rsidP="00110423">
            <w:pPr>
              <w:rPr>
                <w:rFonts w:cs="Arial"/>
                <w:b/>
                <w:bCs/>
                <w:color w:val="339966"/>
                <w:sz w:val="22"/>
                <w:szCs w:val="22"/>
              </w:rPr>
            </w:pPr>
          </w:p>
          <w:p w14:paraId="3DA8631C" w14:textId="1822FC1F" w:rsidR="00FE0D21" w:rsidRPr="00BA6628" w:rsidRDefault="00F26103" w:rsidP="00110423">
            <w:pPr>
              <w:rPr>
                <w:rFonts w:cs="Arial"/>
                <w:bCs/>
                <w:color w:val="000000" w:themeColor="text1"/>
                <w:sz w:val="22"/>
                <w:szCs w:val="22"/>
              </w:rPr>
            </w:pPr>
            <w:r w:rsidRPr="00BA6628">
              <w:rPr>
                <w:rFonts w:cs="Arial"/>
                <w:bCs/>
                <w:color w:val="000000" w:themeColor="text1"/>
                <w:sz w:val="22"/>
                <w:szCs w:val="22"/>
              </w:rPr>
              <w:t>The service will follow the lo</w:t>
            </w:r>
            <w:r w:rsidR="001B2433" w:rsidRPr="00BA6628">
              <w:rPr>
                <w:rFonts w:cs="Arial"/>
                <w:bCs/>
                <w:color w:val="000000" w:themeColor="text1"/>
                <w:sz w:val="22"/>
                <w:szCs w:val="22"/>
              </w:rPr>
              <w:t xml:space="preserve">cal </w:t>
            </w:r>
            <w:r w:rsidR="0075004C" w:rsidRPr="00BA6628">
              <w:rPr>
                <w:rFonts w:cs="Arial"/>
                <w:b/>
                <w:color w:val="000000" w:themeColor="text1"/>
                <w:sz w:val="22"/>
                <w:szCs w:val="22"/>
              </w:rPr>
              <w:t>treatment</w:t>
            </w:r>
            <w:r w:rsidR="001B2433" w:rsidRPr="00BA6628">
              <w:rPr>
                <w:rFonts w:cs="Arial"/>
                <w:b/>
                <w:color w:val="000000" w:themeColor="text1"/>
                <w:sz w:val="22"/>
                <w:szCs w:val="22"/>
              </w:rPr>
              <w:t xml:space="preserve"> protocol</w:t>
            </w:r>
            <w:r w:rsidR="00CC6F8D" w:rsidRPr="00BA6628">
              <w:rPr>
                <w:rFonts w:cs="Arial"/>
                <w:bCs/>
                <w:color w:val="000000" w:themeColor="text1"/>
                <w:sz w:val="22"/>
                <w:szCs w:val="22"/>
              </w:rPr>
              <w:t xml:space="preserve"> as shown in Appendix </w:t>
            </w:r>
            <w:r w:rsidR="00845936" w:rsidRPr="00BA6628">
              <w:rPr>
                <w:rFonts w:cs="Arial"/>
                <w:bCs/>
                <w:color w:val="000000" w:themeColor="text1"/>
                <w:sz w:val="22"/>
                <w:szCs w:val="22"/>
              </w:rPr>
              <w:t>O.</w:t>
            </w:r>
          </w:p>
          <w:p w14:paraId="7FEF1178" w14:textId="77777777" w:rsidR="00FE0D21" w:rsidRPr="00BA6628" w:rsidRDefault="00FE0D21" w:rsidP="00110423">
            <w:pPr>
              <w:rPr>
                <w:rFonts w:cs="Arial"/>
                <w:bCs/>
                <w:color w:val="000000" w:themeColor="text1"/>
                <w:sz w:val="22"/>
                <w:szCs w:val="22"/>
              </w:rPr>
            </w:pPr>
          </w:p>
          <w:p w14:paraId="29521063" w14:textId="29BF7A01" w:rsidR="00831C69" w:rsidRPr="00BA6628" w:rsidRDefault="00831C69" w:rsidP="00110423">
            <w:pPr>
              <w:rPr>
                <w:rFonts w:cs="Arial"/>
                <w:b/>
                <w:bCs/>
                <w:color w:val="339966"/>
                <w:sz w:val="22"/>
                <w:szCs w:val="22"/>
              </w:rPr>
            </w:pPr>
            <w:r w:rsidRPr="00BA6628">
              <w:rPr>
                <w:rFonts w:cs="Arial"/>
                <w:b/>
                <w:bCs/>
                <w:color w:val="339966"/>
                <w:sz w:val="22"/>
                <w:szCs w:val="22"/>
              </w:rPr>
              <w:t>4.</w:t>
            </w:r>
            <w:r w:rsidR="00676C1E">
              <w:rPr>
                <w:rFonts w:cs="Arial"/>
                <w:b/>
                <w:bCs/>
                <w:color w:val="339966"/>
                <w:sz w:val="22"/>
                <w:szCs w:val="22"/>
              </w:rPr>
              <w:t>3</w:t>
            </w:r>
            <w:r w:rsidRPr="00BA6628">
              <w:rPr>
                <w:rFonts w:cs="Arial"/>
                <w:b/>
                <w:bCs/>
                <w:color w:val="339966"/>
                <w:sz w:val="22"/>
                <w:szCs w:val="22"/>
              </w:rPr>
              <w:t xml:space="preserve"> Standards – Patient Group Directions</w:t>
            </w:r>
          </w:p>
          <w:p w14:paraId="4C4B5CA9" w14:textId="60653773" w:rsidR="008B2E49" w:rsidRPr="00BA6628" w:rsidRDefault="008B2E49" w:rsidP="00110423">
            <w:pPr>
              <w:rPr>
                <w:rFonts w:cs="Arial"/>
                <w:b/>
                <w:bCs/>
                <w:color w:val="339966"/>
                <w:sz w:val="22"/>
                <w:szCs w:val="22"/>
              </w:rPr>
            </w:pPr>
          </w:p>
          <w:p w14:paraId="4D8A4DB0" w14:textId="77777777" w:rsidR="00177F15" w:rsidRDefault="00141CE4" w:rsidP="00676C1E">
            <w:pPr>
              <w:rPr>
                <w:rFonts w:cs="Arial"/>
                <w:sz w:val="22"/>
                <w:szCs w:val="22"/>
              </w:rPr>
            </w:pPr>
            <w:r w:rsidRPr="00676C1E">
              <w:rPr>
                <w:rFonts w:cs="Arial"/>
                <w:bCs/>
                <w:color w:val="000000" w:themeColor="text1"/>
                <w:sz w:val="22"/>
                <w:szCs w:val="22"/>
              </w:rPr>
              <w:t>There are no PGDs for this service however</w:t>
            </w:r>
            <w:r w:rsidRPr="00BA6628">
              <w:rPr>
                <w:rFonts w:cs="Arial"/>
                <w:b/>
                <w:bCs/>
                <w:color w:val="339966"/>
                <w:sz w:val="22"/>
                <w:szCs w:val="22"/>
              </w:rPr>
              <w:t xml:space="preserve"> t</w:t>
            </w:r>
            <w:r w:rsidRPr="00BA6628">
              <w:rPr>
                <w:rFonts w:cs="Arial"/>
                <w:bCs/>
                <w:color w:val="000000" w:themeColor="text1"/>
                <w:sz w:val="22"/>
                <w:szCs w:val="22"/>
              </w:rPr>
              <w:t xml:space="preserve">he pharmacy / pharmacist will follow the local </w:t>
            </w:r>
            <w:r w:rsidRPr="00BA6628">
              <w:rPr>
                <w:rFonts w:cs="Arial"/>
                <w:b/>
                <w:color w:val="000000" w:themeColor="text1"/>
                <w:sz w:val="22"/>
                <w:szCs w:val="22"/>
              </w:rPr>
              <w:t>treatment protocol</w:t>
            </w:r>
            <w:r w:rsidRPr="00BA6628">
              <w:rPr>
                <w:rFonts w:cs="Arial"/>
                <w:bCs/>
                <w:color w:val="000000" w:themeColor="text1"/>
                <w:sz w:val="22"/>
                <w:szCs w:val="22"/>
              </w:rPr>
              <w:t xml:space="preserve"> as shown in Appendix </w:t>
            </w:r>
            <w:r w:rsidR="00845936" w:rsidRPr="00BA6628">
              <w:rPr>
                <w:rFonts w:cs="Arial"/>
                <w:bCs/>
                <w:color w:val="000000" w:themeColor="text1"/>
                <w:sz w:val="22"/>
                <w:szCs w:val="22"/>
              </w:rPr>
              <w:t>O.</w:t>
            </w:r>
            <w:r w:rsidR="00676C1E">
              <w:rPr>
                <w:rFonts w:cs="Arial"/>
                <w:bCs/>
                <w:color w:val="000000" w:themeColor="text1"/>
                <w:sz w:val="22"/>
                <w:szCs w:val="22"/>
              </w:rPr>
              <w:t xml:space="preserve"> </w:t>
            </w:r>
            <w:r w:rsidR="00F26103" w:rsidRPr="00BA6628">
              <w:rPr>
                <w:rFonts w:cs="Arial"/>
                <w:sz w:val="22"/>
                <w:szCs w:val="22"/>
              </w:rPr>
              <w:t>A</w:t>
            </w:r>
            <w:r w:rsidR="00DD6905" w:rsidRPr="00BA6628">
              <w:rPr>
                <w:rFonts w:cs="Arial"/>
                <w:sz w:val="22"/>
                <w:szCs w:val="22"/>
              </w:rPr>
              <w:t>ll supplies of t</w:t>
            </w:r>
            <w:r w:rsidR="00F26103" w:rsidRPr="00BA6628">
              <w:rPr>
                <w:rFonts w:cs="Arial"/>
                <w:sz w:val="22"/>
                <w:szCs w:val="22"/>
              </w:rPr>
              <w:t xml:space="preserve">herapies must be recorded on the </w:t>
            </w:r>
            <w:proofErr w:type="spellStart"/>
            <w:r w:rsidR="00F81B28" w:rsidRPr="00BA6628">
              <w:rPr>
                <w:rFonts w:cs="Arial"/>
                <w:sz w:val="22"/>
                <w:szCs w:val="22"/>
              </w:rPr>
              <w:t>Pharm</w:t>
            </w:r>
            <w:r w:rsidR="005355F1" w:rsidRPr="00BA6628">
              <w:rPr>
                <w:rFonts w:cs="Arial"/>
                <w:sz w:val="22"/>
                <w:szCs w:val="22"/>
              </w:rPr>
              <w:t>O</w:t>
            </w:r>
            <w:r w:rsidR="007F4F14" w:rsidRPr="00BA6628">
              <w:rPr>
                <w:rFonts w:cs="Arial"/>
                <w:sz w:val="22"/>
                <w:szCs w:val="22"/>
              </w:rPr>
              <w:t>utcomes</w:t>
            </w:r>
            <w:proofErr w:type="spellEnd"/>
            <w:r w:rsidR="007F4F14" w:rsidRPr="00BA6628">
              <w:rPr>
                <w:rFonts w:cs="Arial"/>
                <w:sz w:val="22"/>
                <w:szCs w:val="22"/>
              </w:rPr>
              <w:t xml:space="preserve"> system</w:t>
            </w:r>
            <w:r w:rsidR="00676C1E">
              <w:rPr>
                <w:rFonts w:cs="Arial"/>
                <w:sz w:val="22"/>
                <w:szCs w:val="22"/>
              </w:rPr>
              <w:t>.</w:t>
            </w:r>
          </w:p>
          <w:p w14:paraId="5428FCE5" w14:textId="70677F44" w:rsidR="00FA7905" w:rsidRPr="00BA6628" w:rsidRDefault="00FA7905" w:rsidP="00676C1E">
            <w:pPr>
              <w:rPr>
                <w:color w:val="FFFFFF"/>
              </w:rPr>
            </w:pPr>
          </w:p>
        </w:tc>
      </w:tr>
      <w:tr w:rsidR="00177F15" w:rsidRPr="00BA6628" w14:paraId="3E5E9CB2"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666666"/>
          </w:tcPr>
          <w:p w14:paraId="56790ED2" w14:textId="77777777" w:rsidR="00177F15" w:rsidRPr="00BA6628" w:rsidRDefault="00177F15" w:rsidP="0090656C">
            <w:pPr>
              <w:pStyle w:val="BodyText"/>
              <w:jc w:val="both"/>
              <w:rPr>
                <w:color w:val="FFFFFF"/>
                <w:u w:val="single"/>
              </w:rPr>
            </w:pPr>
          </w:p>
          <w:p w14:paraId="7D3A73E3" w14:textId="77777777" w:rsidR="00177F15" w:rsidRPr="00BA6628" w:rsidRDefault="00177F15" w:rsidP="0090656C">
            <w:pPr>
              <w:pStyle w:val="BodyText"/>
              <w:jc w:val="both"/>
              <w:rPr>
                <w:color w:val="FFFFFF" w:themeColor="background1"/>
              </w:rPr>
            </w:pPr>
            <w:r w:rsidRPr="00BA6628">
              <w:rPr>
                <w:color w:val="FFFFFF" w:themeColor="background1"/>
              </w:rPr>
              <w:t>5.  Location of Provider Premises</w:t>
            </w:r>
          </w:p>
          <w:p w14:paraId="467CD75B" w14:textId="77777777" w:rsidR="00177F15" w:rsidRPr="00BA6628" w:rsidRDefault="00177F15" w:rsidP="0090656C">
            <w:pPr>
              <w:pStyle w:val="BodyText"/>
              <w:jc w:val="both"/>
              <w:rPr>
                <w:color w:val="FFFFFF"/>
                <w:u w:val="single"/>
              </w:rPr>
            </w:pPr>
          </w:p>
        </w:tc>
      </w:tr>
      <w:tr w:rsidR="00177F15" w:rsidRPr="00BA6628" w14:paraId="1628C798" w14:textId="77777777" w:rsidTr="715C5E64">
        <w:tc>
          <w:tcPr>
            <w:tcW w:w="9819" w:type="dxa"/>
            <w:tcBorders>
              <w:top w:val="single" w:sz="4" w:space="0" w:color="999999"/>
              <w:left w:val="single" w:sz="4" w:space="0" w:color="999999"/>
              <w:bottom w:val="single" w:sz="4" w:space="0" w:color="999999"/>
              <w:right w:val="single" w:sz="4" w:space="0" w:color="999999"/>
            </w:tcBorders>
          </w:tcPr>
          <w:p w14:paraId="4EAE1BF3" w14:textId="77777777" w:rsidR="00177F15" w:rsidRPr="00BA6628" w:rsidRDefault="00177F15" w:rsidP="0090656C">
            <w:pPr>
              <w:pStyle w:val="BodyText"/>
              <w:jc w:val="both"/>
            </w:pPr>
          </w:p>
          <w:p w14:paraId="08731777" w14:textId="77777777" w:rsidR="00F47B78" w:rsidRPr="00BA6628" w:rsidRDefault="00177F15" w:rsidP="0090656C">
            <w:pPr>
              <w:pStyle w:val="BodyText"/>
              <w:jc w:val="both"/>
              <w:rPr>
                <w:b/>
                <w:color w:val="339966"/>
              </w:rPr>
            </w:pPr>
            <w:r w:rsidRPr="00BA6628">
              <w:rPr>
                <w:b/>
                <w:color w:val="339966"/>
              </w:rPr>
              <w:t xml:space="preserve">The Provider’s Premises </w:t>
            </w:r>
            <w:r w:rsidR="00F47B78" w:rsidRPr="00BA6628">
              <w:rPr>
                <w:b/>
                <w:color w:val="339966"/>
              </w:rPr>
              <w:t>are located at:</w:t>
            </w:r>
          </w:p>
          <w:p w14:paraId="4257F012" w14:textId="77777777" w:rsidR="008B2E49" w:rsidRPr="00BA6628" w:rsidRDefault="008B2E49" w:rsidP="0090656C">
            <w:pPr>
              <w:pStyle w:val="BodyText"/>
              <w:jc w:val="both"/>
              <w:rPr>
                <w:b/>
                <w:color w:val="339966"/>
              </w:rPr>
            </w:pPr>
          </w:p>
          <w:p w14:paraId="38A6611B" w14:textId="0BF141AC" w:rsidR="00110423" w:rsidRDefault="00F47B78" w:rsidP="00391E8A">
            <w:pPr>
              <w:pStyle w:val="BodyText"/>
              <w:jc w:val="both"/>
              <w:rPr>
                <w:bCs/>
                <w:lang w:eastAsia="en-GB"/>
              </w:rPr>
            </w:pPr>
            <w:r w:rsidRPr="00BA6628">
              <w:rPr>
                <w:bCs/>
                <w:lang w:eastAsia="en-GB"/>
              </w:rPr>
              <w:t>N</w:t>
            </w:r>
            <w:r w:rsidR="0063602B" w:rsidRPr="00BA6628">
              <w:rPr>
                <w:bCs/>
                <w:lang w:eastAsia="en-GB"/>
              </w:rPr>
              <w:t>amed c</w:t>
            </w:r>
            <w:r w:rsidR="00110423" w:rsidRPr="00BA6628">
              <w:rPr>
                <w:bCs/>
                <w:lang w:eastAsia="en-GB"/>
              </w:rPr>
              <w:t>ommunity</w:t>
            </w:r>
            <w:r w:rsidR="007A529D">
              <w:rPr>
                <w:bCs/>
                <w:lang w:eastAsia="en-GB"/>
              </w:rPr>
              <w:t xml:space="preserve"> p</w:t>
            </w:r>
            <w:r w:rsidR="00110423" w:rsidRPr="00BA6628">
              <w:rPr>
                <w:bCs/>
                <w:lang w:eastAsia="en-GB"/>
              </w:rPr>
              <w:t>harmacies</w:t>
            </w:r>
            <w:r w:rsidRPr="00BA6628">
              <w:rPr>
                <w:bCs/>
                <w:lang w:eastAsia="en-GB"/>
              </w:rPr>
              <w:t xml:space="preserve"> within the Borough of St Helens</w:t>
            </w:r>
            <w:r w:rsidR="007A529D">
              <w:rPr>
                <w:bCs/>
                <w:lang w:eastAsia="en-GB"/>
              </w:rPr>
              <w:t xml:space="preserve"> at l</w:t>
            </w:r>
            <w:r w:rsidRPr="00BA6628">
              <w:rPr>
                <w:bCs/>
                <w:lang w:eastAsia="en-GB"/>
              </w:rPr>
              <w:t xml:space="preserve">ocations to be agreed </w:t>
            </w:r>
            <w:r w:rsidR="007A529D">
              <w:rPr>
                <w:bCs/>
                <w:lang w:eastAsia="en-GB"/>
              </w:rPr>
              <w:t xml:space="preserve">with </w:t>
            </w:r>
            <w:r w:rsidRPr="00BA6628">
              <w:rPr>
                <w:bCs/>
                <w:lang w:eastAsia="en-GB"/>
              </w:rPr>
              <w:t>St Helens Council, Public Health.</w:t>
            </w:r>
          </w:p>
          <w:p w14:paraId="506036F2" w14:textId="4DD327B0" w:rsidR="00FA7905" w:rsidRPr="00BA6628" w:rsidRDefault="00FA7905" w:rsidP="00391E8A">
            <w:pPr>
              <w:pStyle w:val="BodyText"/>
              <w:jc w:val="both"/>
            </w:pPr>
          </w:p>
        </w:tc>
      </w:tr>
      <w:tr w:rsidR="00177F15" w:rsidRPr="00BA6628" w14:paraId="23052A91"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606060"/>
          </w:tcPr>
          <w:p w14:paraId="357DD85A" w14:textId="77777777" w:rsidR="00177F15" w:rsidRPr="00BA6628" w:rsidRDefault="00177F15" w:rsidP="0090656C">
            <w:pPr>
              <w:pStyle w:val="BodyText"/>
              <w:jc w:val="both"/>
            </w:pPr>
          </w:p>
          <w:p w14:paraId="37E1CF22" w14:textId="77777777" w:rsidR="00177F15" w:rsidRPr="00BA6628" w:rsidRDefault="00177F15" w:rsidP="0090656C">
            <w:pPr>
              <w:pStyle w:val="BodyText"/>
              <w:jc w:val="both"/>
              <w:rPr>
                <w:color w:val="FFFFFF" w:themeColor="background1"/>
              </w:rPr>
            </w:pPr>
            <w:r w:rsidRPr="00BA6628">
              <w:rPr>
                <w:color w:val="FFFFFF" w:themeColor="background1"/>
              </w:rPr>
              <w:t>6. Required Insurances</w:t>
            </w:r>
          </w:p>
          <w:p w14:paraId="6CD42E68" w14:textId="77777777" w:rsidR="00177F15" w:rsidRPr="00BA6628" w:rsidRDefault="00177F15" w:rsidP="0090656C">
            <w:pPr>
              <w:pStyle w:val="BodyText"/>
              <w:jc w:val="both"/>
            </w:pPr>
          </w:p>
        </w:tc>
      </w:tr>
      <w:tr w:rsidR="00177F15" w:rsidRPr="00BA6628" w14:paraId="6DCED50F" w14:textId="77777777" w:rsidTr="715C5E64">
        <w:tc>
          <w:tcPr>
            <w:tcW w:w="9819" w:type="dxa"/>
            <w:tcBorders>
              <w:top w:val="single" w:sz="4" w:space="0" w:color="999999"/>
              <w:left w:val="single" w:sz="4" w:space="0" w:color="999999"/>
              <w:bottom w:val="single" w:sz="4" w:space="0" w:color="999999"/>
              <w:right w:val="single" w:sz="4" w:space="0" w:color="999999"/>
            </w:tcBorders>
            <w:shd w:val="clear" w:color="auto" w:fill="auto"/>
          </w:tcPr>
          <w:p w14:paraId="183ECDFA" w14:textId="77777777" w:rsidR="008B2E49" w:rsidRPr="00BA6628" w:rsidRDefault="008B2E49" w:rsidP="008B2E49">
            <w:pPr>
              <w:suppressAutoHyphens w:val="0"/>
              <w:rPr>
                <w:rFonts w:cs="Arial"/>
                <w:sz w:val="22"/>
                <w:szCs w:val="22"/>
              </w:rPr>
            </w:pPr>
          </w:p>
          <w:p w14:paraId="3C70A65E" w14:textId="77777777" w:rsidR="00B60A2D" w:rsidRPr="00BA6628" w:rsidRDefault="00B60A2D" w:rsidP="00B60A2D">
            <w:pPr>
              <w:pStyle w:val="BodyText"/>
              <w:jc w:val="both"/>
              <w:rPr>
                <w:highlight w:val="green"/>
              </w:rPr>
            </w:pPr>
            <w:r w:rsidRPr="00BA6628">
              <w:t>The Provider must satisfy required insurances detailed in the St Helens Council PQQ Stage/PQQ Accreditation Questionnaire and must notify their professional indemnity insurers</w:t>
            </w:r>
          </w:p>
          <w:p w14:paraId="48AB46FB" w14:textId="77777777" w:rsidR="00177F15" w:rsidRPr="00BA6628" w:rsidRDefault="00177F15" w:rsidP="0090656C">
            <w:pPr>
              <w:pStyle w:val="BodyText"/>
              <w:jc w:val="both"/>
            </w:pPr>
          </w:p>
        </w:tc>
      </w:tr>
    </w:tbl>
    <w:p w14:paraId="34964E3E" w14:textId="77777777" w:rsidR="00110423" w:rsidRPr="00BA6628" w:rsidRDefault="00110423" w:rsidP="00AE49B6">
      <w:pPr>
        <w:jc w:val="center"/>
        <w:rPr>
          <w:rFonts w:cs="Arial"/>
          <w:b/>
          <w:sz w:val="22"/>
          <w:szCs w:val="22"/>
          <w:u w:val="single"/>
        </w:rPr>
      </w:pPr>
    </w:p>
    <w:p w14:paraId="398C0517" w14:textId="77777777" w:rsidR="00A56603" w:rsidRDefault="00110423" w:rsidP="00F81B28">
      <w:pPr>
        <w:jc w:val="center"/>
        <w:rPr>
          <w:sz w:val="22"/>
          <w:szCs w:val="22"/>
        </w:rPr>
      </w:pPr>
      <w:r w:rsidRPr="00BA6628">
        <w:rPr>
          <w:sz w:val="22"/>
          <w:szCs w:val="22"/>
        </w:rPr>
        <w:br w:type="page"/>
      </w:r>
    </w:p>
    <w:p w14:paraId="05446323" w14:textId="4257B372" w:rsidR="002E6113" w:rsidRPr="00372026" w:rsidRDefault="002E6113" w:rsidP="00F81B28">
      <w:pPr>
        <w:jc w:val="center"/>
        <w:rPr>
          <w:rFonts w:ascii="Arial Bold" w:hAnsi="Arial Bold" w:cs="Arial"/>
          <w:b/>
          <w:szCs w:val="24"/>
        </w:rPr>
      </w:pPr>
      <w:r w:rsidRPr="00372026">
        <w:rPr>
          <w:rFonts w:ascii="Arial Bold" w:hAnsi="Arial Bold" w:cs="Arial"/>
          <w:b/>
          <w:szCs w:val="24"/>
        </w:rPr>
        <w:lastRenderedPageBreak/>
        <w:t>APPENDIX B</w:t>
      </w:r>
    </w:p>
    <w:p w14:paraId="2B9BFB8D" w14:textId="77777777" w:rsidR="002E6113" w:rsidRPr="00BA6628" w:rsidRDefault="002E6113" w:rsidP="002E6113">
      <w:pPr>
        <w:jc w:val="center"/>
        <w:rPr>
          <w:rFonts w:cs="Arial"/>
          <w:b/>
          <w:sz w:val="22"/>
          <w:szCs w:val="22"/>
        </w:rPr>
      </w:pPr>
    </w:p>
    <w:p w14:paraId="1A0E0ECA" w14:textId="77777777" w:rsidR="002E6113" w:rsidRPr="00BA6628" w:rsidRDefault="002E6113" w:rsidP="002E6113">
      <w:pPr>
        <w:jc w:val="center"/>
        <w:rPr>
          <w:rFonts w:cs="Arial"/>
          <w:b/>
          <w:sz w:val="22"/>
          <w:szCs w:val="22"/>
        </w:rPr>
      </w:pPr>
      <w:r w:rsidRPr="00BA6628">
        <w:rPr>
          <w:rFonts w:cs="Arial"/>
          <w:b/>
          <w:sz w:val="22"/>
          <w:szCs w:val="22"/>
        </w:rPr>
        <w:t>CONDITIONS PRECEDENT</w:t>
      </w:r>
    </w:p>
    <w:p w14:paraId="285A2890" w14:textId="77777777" w:rsidR="002E6113" w:rsidRPr="00BA6628" w:rsidRDefault="002E6113" w:rsidP="002E6113">
      <w:pPr>
        <w:rPr>
          <w:rFonts w:cs="Arial"/>
          <w:b/>
          <w:sz w:val="22"/>
          <w:szCs w:val="22"/>
        </w:rPr>
      </w:pPr>
    </w:p>
    <w:p w14:paraId="25D2D33D" w14:textId="77777777" w:rsidR="002D2E2F" w:rsidRPr="00BA6628" w:rsidRDefault="002D2E2F" w:rsidP="002E6113">
      <w:pPr>
        <w:rPr>
          <w:rFonts w:cs="Arial"/>
          <w:b/>
          <w:sz w:val="22"/>
          <w:szCs w:val="22"/>
        </w:rPr>
      </w:pPr>
    </w:p>
    <w:p w14:paraId="761EDB71" w14:textId="1D1B0CB9" w:rsidR="00B44C50" w:rsidRPr="00BA6628" w:rsidRDefault="00F02E94" w:rsidP="002E6113">
      <w:pPr>
        <w:rPr>
          <w:rFonts w:cs="Arial"/>
          <w:sz w:val="22"/>
          <w:szCs w:val="22"/>
        </w:rPr>
      </w:pPr>
      <w:r w:rsidRPr="00F02E94">
        <w:rPr>
          <w:rFonts w:cs="Arial"/>
          <w:sz w:val="22"/>
          <w:szCs w:val="22"/>
        </w:rPr>
        <w:t>The service provider will be familiar with the local protocols (See Appendix O).</w:t>
      </w:r>
    </w:p>
    <w:p w14:paraId="18D583E0" w14:textId="77777777" w:rsidR="00B44C50" w:rsidRPr="00BA6628" w:rsidRDefault="00B44C50" w:rsidP="002E6113">
      <w:pPr>
        <w:rPr>
          <w:rFonts w:cs="Arial"/>
          <w:sz w:val="22"/>
          <w:szCs w:val="22"/>
        </w:rPr>
      </w:pPr>
    </w:p>
    <w:p w14:paraId="78A5EE64" w14:textId="77777777" w:rsidR="002B719E" w:rsidRDefault="002B719E" w:rsidP="00CD25EA">
      <w:pPr>
        <w:pStyle w:val="Heading2"/>
        <w:keepNext w:val="0"/>
        <w:widowControl w:val="0"/>
        <w:suppressAutoHyphens w:val="0"/>
        <w:ind w:left="0" w:firstLine="0"/>
        <w:jc w:val="center"/>
        <w:rPr>
          <w:szCs w:val="22"/>
        </w:rPr>
      </w:pPr>
    </w:p>
    <w:p w14:paraId="5B04C468" w14:textId="2256D7EA" w:rsidR="00CD25EA" w:rsidRPr="00DB48EE" w:rsidRDefault="00CD25EA" w:rsidP="00CD25EA">
      <w:pPr>
        <w:pStyle w:val="Heading2"/>
        <w:keepNext w:val="0"/>
        <w:widowControl w:val="0"/>
        <w:suppressAutoHyphens w:val="0"/>
        <w:ind w:left="0" w:firstLine="0"/>
        <w:jc w:val="center"/>
        <w:rPr>
          <w:szCs w:val="22"/>
        </w:rPr>
      </w:pPr>
      <w:r w:rsidRPr="00DB48EE">
        <w:rPr>
          <w:szCs w:val="22"/>
        </w:rPr>
        <w:t>APPENDIX C</w:t>
      </w:r>
    </w:p>
    <w:p w14:paraId="60EF9F33" w14:textId="77777777" w:rsidR="00CD25EA" w:rsidRPr="00D6227B" w:rsidRDefault="00CD25EA" w:rsidP="00CD25EA">
      <w:pPr>
        <w:keepNext/>
        <w:keepLines/>
        <w:ind w:left="1"/>
        <w:jc w:val="center"/>
        <w:rPr>
          <w:rFonts w:cs="Arial"/>
          <w:b/>
          <w:sz w:val="22"/>
          <w:szCs w:val="22"/>
        </w:rPr>
      </w:pPr>
    </w:p>
    <w:p w14:paraId="63BB4410" w14:textId="77777777" w:rsidR="00CD25EA" w:rsidRPr="00DB48EE" w:rsidRDefault="00CD25EA" w:rsidP="00CD25EA">
      <w:pPr>
        <w:keepNext/>
        <w:keepLines/>
        <w:ind w:left="1"/>
        <w:jc w:val="center"/>
        <w:rPr>
          <w:rFonts w:cs="Arial"/>
          <w:sz w:val="22"/>
          <w:szCs w:val="22"/>
        </w:rPr>
      </w:pPr>
      <w:r w:rsidRPr="00D6227B">
        <w:rPr>
          <w:rFonts w:ascii="Arial Bold" w:hAnsi="Arial Bold" w:cs="Arial"/>
          <w:b/>
          <w:sz w:val="20"/>
          <w:szCs w:val="22"/>
        </w:rPr>
        <w:t>QUALITY OUTCOMES INDICATORS</w:t>
      </w:r>
      <w:r w:rsidRPr="00D6227B">
        <w:rPr>
          <w:rStyle w:val="FootnoteReference"/>
          <w:rFonts w:cs="Arial"/>
          <w:b/>
          <w:sz w:val="22"/>
          <w:szCs w:val="22"/>
        </w:rPr>
        <w:footnoteReference w:id="1"/>
      </w:r>
      <w:r w:rsidRPr="00DB48EE">
        <w:rPr>
          <w:rFonts w:cs="Arial"/>
          <w:sz w:val="22"/>
          <w:szCs w:val="22"/>
        </w:rPr>
        <w:t xml:space="preserve"> </w:t>
      </w:r>
    </w:p>
    <w:p w14:paraId="222F002B" w14:textId="77777777" w:rsidR="00CD25EA" w:rsidRDefault="00CD25EA" w:rsidP="00CD25EA">
      <w:pPr>
        <w:keepNext/>
        <w:keepLines/>
        <w:ind w:left="1"/>
        <w:jc w:val="left"/>
        <w:rPr>
          <w:rFonts w:cs="Arial"/>
          <w:sz w:val="20"/>
        </w:rPr>
      </w:pPr>
    </w:p>
    <w:p w14:paraId="002629BF" w14:textId="77777777" w:rsidR="00CD25EA" w:rsidRPr="0037645C" w:rsidRDefault="00CD25EA" w:rsidP="00CD25EA">
      <w:pPr>
        <w:keepNext/>
        <w:keepLines/>
        <w:ind w:left="1"/>
        <w:jc w:val="left"/>
        <w:rPr>
          <w:rFonts w:cs="Arial"/>
          <w:sz w:val="22"/>
          <w:szCs w:val="22"/>
        </w:rPr>
      </w:pPr>
    </w:p>
    <w:p w14:paraId="531C39BC" w14:textId="77777777" w:rsidR="00CD25EA" w:rsidRPr="0037645C" w:rsidRDefault="00CD25EA" w:rsidP="00CD25EA">
      <w:pPr>
        <w:keepNext/>
        <w:keepLines/>
        <w:ind w:left="1"/>
        <w:rPr>
          <w:sz w:val="22"/>
          <w:szCs w:val="22"/>
        </w:rPr>
      </w:pPr>
      <w:r w:rsidRPr="0037645C">
        <w:rPr>
          <w:sz w:val="22"/>
          <w:szCs w:val="22"/>
        </w:rPr>
        <w:t>Quality measures will include the completeness of assessment and monitoring information and the clinical outcomes. This will form part of the training and review process undertaken by St Helens Public Health</w:t>
      </w:r>
    </w:p>
    <w:p w14:paraId="7CDFC7B9" w14:textId="77777777" w:rsidR="00CD25EA" w:rsidRPr="00DB48EE" w:rsidRDefault="00CD25EA" w:rsidP="00CD25EA">
      <w:pPr>
        <w:keepNext/>
        <w:keepLines/>
        <w:ind w:left="1"/>
        <w:rPr>
          <w:sz w:val="20"/>
        </w:rPr>
      </w:pPr>
    </w:p>
    <w:p w14:paraId="2FFDF80C" w14:textId="77777777" w:rsidR="00CD25EA" w:rsidRPr="0037135F" w:rsidRDefault="00CD25EA" w:rsidP="00CD25EA">
      <w:pPr>
        <w:suppressAutoHyphens w:val="0"/>
        <w:spacing w:after="200" w:line="276" w:lineRule="auto"/>
        <w:jc w:val="left"/>
        <w:rPr>
          <w:rFonts w:ascii="Arial Bold" w:hAnsi="Arial Bold" w:cs="Arial"/>
          <w:b/>
          <w:szCs w:val="22"/>
        </w:rPr>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559"/>
        <w:gridCol w:w="1559"/>
        <w:gridCol w:w="3119"/>
      </w:tblGrid>
      <w:tr w:rsidR="00CD25EA" w:rsidRPr="00FC00EB" w14:paraId="6279B563" w14:textId="77777777" w:rsidTr="12AB9A3A">
        <w:tc>
          <w:tcPr>
            <w:tcW w:w="1985" w:type="dxa"/>
            <w:shd w:val="clear" w:color="auto" w:fill="BFBFBF" w:themeFill="background1" w:themeFillShade="BF"/>
          </w:tcPr>
          <w:p w14:paraId="3D21B74E" w14:textId="77777777" w:rsidR="00CD25EA" w:rsidRPr="00FC00EB" w:rsidRDefault="00CD25EA" w:rsidP="002B719E">
            <w:pPr>
              <w:jc w:val="center"/>
              <w:rPr>
                <w:rFonts w:cs="Arial"/>
                <w:b/>
                <w:sz w:val="20"/>
              </w:rPr>
            </w:pPr>
            <w:r w:rsidRPr="00FC00EB">
              <w:rPr>
                <w:rFonts w:cs="Arial"/>
                <w:b/>
                <w:sz w:val="20"/>
              </w:rPr>
              <w:t>Quality Outcomes Indicators</w:t>
            </w:r>
          </w:p>
        </w:tc>
        <w:tc>
          <w:tcPr>
            <w:tcW w:w="1559" w:type="dxa"/>
            <w:shd w:val="clear" w:color="auto" w:fill="BFBFBF" w:themeFill="background1" w:themeFillShade="BF"/>
          </w:tcPr>
          <w:p w14:paraId="51820819" w14:textId="77777777" w:rsidR="00CD25EA" w:rsidRPr="00FC00EB" w:rsidRDefault="00CD25EA" w:rsidP="002B719E">
            <w:pPr>
              <w:jc w:val="center"/>
              <w:rPr>
                <w:rFonts w:cs="Arial"/>
                <w:b/>
                <w:sz w:val="20"/>
              </w:rPr>
            </w:pPr>
            <w:r w:rsidRPr="00FC00EB">
              <w:rPr>
                <w:rFonts w:cs="Arial"/>
                <w:b/>
                <w:sz w:val="20"/>
              </w:rPr>
              <w:t>Threshold</w:t>
            </w:r>
          </w:p>
        </w:tc>
        <w:tc>
          <w:tcPr>
            <w:tcW w:w="1559" w:type="dxa"/>
            <w:shd w:val="clear" w:color="auto" w:fill="BFBFBF" w:themeFill="background1" w:themeFillShade="BF"/>
          </w:tcPr>
          <w:p w14:paraId="047D7BFB" w14:textId="77777777" w:rsidR="00CD25EA" w:rsidRPr="00FC00EB" w:rsidRDefault="00CD25EA" w:rsidP="002B719E">
            <w:pPr>
              <w:jc w:val="center"/>
              <w:rPr>
                <w:rFonts w:cs="Arial"/>
                <w:b/>
                <w:sz w:val="20"/>
              </w:rPr>
            </w:pPr>
            <w:r w:rsidRPr="00FC00EB">
              <w:rPr>
                <w:rFonts w:cs="Arial"/>
                <w:b/>
                <w:sz w:val="20"/>
              </w:rPr>
              <w:t>Method of Measurement</w:t>
            </w:r>
          </w:p>
        </w:tc>
        <w:tc>
          <w:tcPr>
            <w:tcW w:w="3119" w:type="dxa"/>
            <w:shd w:val="clear" w:color="auto" w:fill="BFBFBF" w:themeFill="background1" w:themeFillShade="BF"/>
          </w:tcPr>
          <w:p w14:paraId="5D09F7F1" w14:textId="77777777" w:rsidR="00CD25EA" w:rsidRPr="00FC00EB" w:rsidRDefault="00CD25EA" w:rsidP="002B719E">
            <w:pPr>
              <w:jc w:val="center"/>
              <w:rPr>
                <w:rFonts w:cs="Arial"/>
                <w:b/>
                <w:sz w:val="20"/>
              </w:rPr>
            </w:pPr>
            <w:r>
              <w:rPr>
                <w:rFonts w:cs="Arial"/>
                <w:b/>
                <w:sz w:val="20"/>
              </w:rPr>
              <w:t>Intervention type</w:t>
            </w:r>
          </w:p>
        </w:tc>
      </w:tr>
      <w:tr w:rsidR="00CD25EA" w:rsidRPr="00FC00EB" w14:paraId="494069BB" w14:textId="77777777" w:rsidTr="12AB9A3A">
        <w:tc>
          <w:tcPr>
            <w:tcW w:w="1985" w:type="dxa"/>
          </w:tcPr>
          <w:p w14:paraId="723072D3" w14:textId="77777777" w:rsidR="00CD25EA" w:rsidRPr="001C6756" w:rsidRDefault="00CD25EA" w:rsidP="00966B09">
            <w:pPr>
              <w:jc w:val="left"/>
              <w:rPr>
                <w:rFonts w:cs="Arial"/>
                <w:sz w:val="22"/>
                <w:szCs w:val="22"/>
              </w:rPr>
            </w:pPr>
            <w:r w:rsidRPr="001C6756">
              <w:rPr>
                <w:rFonts w:cs="Arial"/>
                <w:sz w:val="22"/>
                <w:szCs w:val="22"/>
              </w:rPr>
              <w:t>No of clients who exchanged vouchers for tablets</w:t>
            </w:r>
          </w:p>
        </w:tc>
        <w:tc>
          <w:tcPr>
            <w:tcW w:w="1559" w:type="dxa"/>
          </w:tcPr>
          <w:p w14:paraId="47B1FD04" w14:textId="76D92D8E" w:rsidR="00CD25EA" w:rsidRPr="001C6756" w:rsidRDefault="00EE5AF1" w:rsidP="00966B09">
            <w:pPr>
              <w:jc w:val="left"/>
              <w:rPr>
                <w:rFonts w:cs="Arial"/>
                <w:sz w:val="22"/>
                <w:szCs w:val="22"/>
              </w:rPr>
            </w:pPr>
            <w:r>
              <w:rPr>
                <w:rFonts w:cs="Arial"/>
                <w:sz w:val="22"/>
                <w:szCs w:val="22"/>
              </w:rPr>
              <w:t>6000</w:t>
            </w:r>
          </w:p>
        </w:tc>
        <w:tc>
          <w:tcPr>
            <w:tcW w:w="1559" w:type="dxa"/>
          </w:tcPr>
          <w:p w14:paraId="12445FBE" w14:textId="77777777" w:rsidR="00CD25EA" w:rsidRPr="001C6756" w:rsidRDefault="00CD25EA" w:rsidP="00966B09">
            <w:pPr>
              <w:jc w:val="left"/>
              <w:rPr>
                <w:rFonts w:cs="Arial"/>
                <w:sz w:val="22"/>
                <w:szCs w:val="22"/>
              </w:rPr>
            </w:pPr>
            <w:r w:rsidRPr="001C6756">
              <w:rPr>
                <w:rFonts w:cs="Arial"/>
                <w:sz w:val="22"/>
                <w:szCs w:val="22"/>
              </w:rPr>
              <w:t>Pharmacy taking note of number of vouchers presented</w:t>
            </w:r>
          </w:p>
        </w:tc>
        <w:tc>
          <w:tcPr>
            <w:tcW w:w="3119" w:type="dxa"/>
          </w:tcPr>
          <w:p w14:paraId="6419B4F8" w14:textId="0B91CA33" w:rsidR="00CD25EA" w:rsidRPr="001C6756" w:rsidRDefault="00CD25EA" w:rsidP="00966B09">
            <w:pPr>
              <w:jc w:val="left"/>
              <w:rPr>
                <w:rFonts w:cs="Arial"/>
                <w:sz w:val="22"/>
                <w:szCs w:val="22"/>
              </w:rPr>
            </w:pPr>
            <w:r w:rsidRPr="12AB9A3A">
              <w:rPr>
                <w:rFonts w:cs="Arial"/>
                <w:sz w:val="22"/>
                <w:szCs w:val="22"/>
              </w:rPr>
              <w:t>Vitamin D provided to vulnerable people in the community (those who are most vulnerable to serious illness including the elderly (over 65 years) and people who live alone. They will also receive useful information on how to access practical support such as food and fuel to keep people healthy this winter with the rising cost of living.</w:t>
            </w:r>
          </w:p>
        </w:tc>
      </w:tr>
      <w:tr w:rsidR="00CD25EA" w:rsidRPr="00FC00EB" w14:paraId="1757F706" w14:textId="77777777" w:rsidTr="12AB9A3A">
        <w:tc>
          <w:tcPr>
            <w:tcW w:w="1985" w:type="dxa"/>
          </w:tcPr>
          <w:p w14:paraId="47250A64" w14:textId="77777777" w:rsidR="00CD25EA" w:rsidRPr="001C6756" w:rsidRDefault="00CD25EA" w:rsidP="00966B09">
            <w:pPr>
              <w:jc w:val="left"/>
              <w:rPr>
                <w:rFonts w:cs="Arial"/>
                <w:sz w:val="22"/>
                <w:szCs w:val="22"/>
              </w:rPr>
            </w:pPr>
            <w:r w:rsidRPr="001C6756">
              <w:rPr>
                <w:rFonts w:cs="Arial"/>
                <w:sz w:val="22"/>
                <w:szCs w:val="22"/>
              </w:rPr>
              <w:t>Promote vitamin D uptake in the winter months</w:t>
            </w:r>
          </w:p>
        </w:tc>
        <w:tc>
          <w:tcPr>
            <w:tcW w:w="1559" w:type="dxa"/>
          </w:tcPr>
          <w:p w14:paraId="730C87E6" w14:textId="77777777" w:rsidR="00CD25EA" w:rsidRPr="001C6756" w:rsidRDefault="00CD25EA" w:rsidP="00966B09">
            <w:pPr>
              <w:jc w:val="left"/>
              <w:rPr>
                <w:rFonts w:cs="Arial"/>
                <w:sz w:val="22"/>
                <w:szCs w:val="22"/>
              </w:rPr>
            </w:pPr>
            <w:r w:rsidRPr="001C6756">
              <w:rPr>
                <w:rFonts w:cs="Arial"/>
                <w:sz w:val="22"/>
                <w:szCs w:val="22"/>
              </w:rPr>
              <w:t>Opportunistic</w:t>
            </w:r>
          </w:p>
        </w:tc>
        <w:tc>
          <w:tcPr>
            <w:tcW w:w="1559" w:type="dxa"/>
          </w:tcPr>
          <w:p w14:paraId="42C68022" w14:textId="77777777" w:rsidR="00CD25EA" w:rsidRPr="001C6756" w:rsidRDefault="00CD25EA" w:rsidP="00966B09">
            <w:pPr>
              <w:jc w:val="left"/>
              <w:rPr>
                <w:rFonts w:cs="Arial"/>
                <w:sz w:val="22"/>
                <w:szCs w:val="22"/>
              </w:rPr>
            </w:pPr>
            <w:r w:rsidRPr="001C6756">
              <w:rPr>
                <w:rFonts w:cs="Arial"/>
                <w:sz w:val="22"/>
                <w:szCs w:val="22"/>
              </w:rPr>
              <w:t>N/A</w:t>
            </w:r>
          </w:p>
        </w:tc>
        <w:tc>
          <w:tcPr>
            <w:tcW w:w="3119" w:type="dxa"/>
          </w:tcPr>
          <w:p w14:paraId="542E82AD" w14:textId="77777777" w:rsidR="00CD25EA" w:rsidRPr="001C6756" w:rsidRDefault="00CD25EA" w:rsidP="00966B09">
            <w:pPr>
              <w:jc w:val="left"/>
              <w:rPr>
                <w:rFonts w:cs="Arial"/>
                <w:sz w:val="22"/>
                <w:szCs w:val="22"/>
              </w:rPr>
            </w:pPr>
            <w:r w:rsidRPr="001C6756">
              <w:rPr>
                <w:rFonts w:cs="Arial"/>
                <w:sz w:val="22"/>
                <w:szCs w:val="22"/>
              </w:rPr>
              <w:t>Brief discussions with clients from staff who have read and understood the protocol</w:t>
            </w:r>
          </w:p>
        </w:tc>
      </w:tr>
    </w:tbl>
    <w:p w14:paraId="24AC624B" w14:textId="77777777" w:rsidR="00CD25EA" w:rsidRDefault="00CD25EA" w:rsidP="00CD25EA">
      <w:pPr>
        <w:suppressAutoHyphens w:val="0"/>
        <w:spacing w:after="200" w:line="276" w:lineRule="auto"/>
        <w:jc w:val="left"/>
        <w:rPr>
          <w:rFonts w:ascii="Arial Bold" w:hAnsi="Arial Bold" w:cs="Arial"/>
          <w:b/>
          <w:szCs w:val="22"/>
        </w:rPr>
      </w:pPr>
    </w:p>
    <w:p w14:paraId="0443AB2B" w14:textId="77777777" w:rsidR="00CD25EA" w:rsidRDefault="00CD25EA" w:rsidP="00CD25EA">
      <w:pPr>
        <w:suppressAutoHyphens w:val="0"/>
        <w:jc w:val="left"/>
        <w:rPr>
          <w:rFonts w:cs="Arial"/>
          <w:b/>
          <w:sz w:val="22"/>
          <w:szCs w:val="22"/>
        </w:rPr>
      </w:pPr>
    </w:p>
    <w:p w14:paraId="330A54E2" w14:textId="77777777" w:rsidR="00CD25EA" w:rsidRPr="0097390C" w:rsidRDefault="00CD25EA" w:rsidP="00CD25EA">
      <w:pPr>
        <w:suppressAutoHyphens w:val="0"/>
        <w:jc w:val="center"/>
        <w:rPr>
          <w:rFonts w:cs="Arial"/>
          <w:b/>
          <w:szCs w:val="24"/>
        </w:rPr>
      </w:pPr>
      <w:r w:rsidRPr="0097390C">
        <w:rPr>
          <w:rFonts w:cs="Arial"/>
          <w:b/>
          <w:szCs w:val="24"/>
        </w:rPr>
        <w:t>APPENDIX D</w:t>
      </w:r>
    </w:p>
    <w:p w14:paraId="2E6727C9" w14:textId="77777777" w:rsidR="00CD25EA" w:rsidRPr="006D37FB" w:rsidRDefault="00CD25EA" w:rsidP="00CD25EA">
      <w:pPr>
        <w:jc w:val="center"/>
        <w:rPr>
          <w:rFonts w:cs="Arial"/>
          <w:b/>
          <w:sz w:val="22"/>
          <w:szCs w:val="22"/>
        </w:rPr>
      </w:pPr>
    </w:p>
    <w:p w14:paraId="466E2103" w14:textId="77777777" w:rsidR="00CD25EA" w:rsidRPr="00EA70F8" w:rsidRDefault="00CD25EA" w:rsidP="00CD25EA">
      <w:pPr>
        <w:jc w:val="center"/>
        <w:rPr>
          <w:rFonts w:cs="Arial"/>
          <w:sz w:val="20"/>
        </w:rPr>
      </w:pPr>
      <w:r w:rsidRPr="00EA70F8">
        <w:rPr>
          <w:rFonts w:cs="Arial"/>
          <w:b/>
          <w:sz w:val="20"/>
        </w:rPr>
        <w:t>SERVICE USER, CARER AND STAFF SURVEYS</w:t>
      </w:r>
    </w:p>
    <w:p w14:paraId="09F54583" w14:textId="77777777" w:rsidR="00CD25EA" w:rsidRDefault="00CD25EA" w:rsidP="00CD25EA">
      <w:pPr>
        <w:rPr>
          <w:rFonts w:cs="Arial"/>
          <w:sz w:val="22"/>
          <w:szCs w:val="22"/>
        </w:rPr>
      </w:pPr>
    </w:p>
    <w:p w14:paraId="217868C4" w14:textId="77777777" w:rsidR="00CD25EA" w:rsidRDefault="00CD25EA" w:rsidP="00CD25EA">
      <w:pPr>
        <w:rPr>
          <w:rFonts w:cs="Arial"/>
          <w:sz w:val="22"/>
          <w:szCs w:val="22"/>
        </w:rPr>
      </w:pPr>
    </w:p>
    <w:p w14:paraId="4DF0E71B" w14:textId="77777777" w:rsidR="00ED27BC" w:rsidRPr="001C6756" w:rsidRDefault="00CC616F" w:rsidP="00CD25EA">
      <w:pPr>
        <w:tabs>
          <w:tab w:val="left" w:pos="0"/>
        </w:tabs>
        <w:autoSpaceDE w:val="0"/>
        <w:autoSpaceDN w:val="0"/>
        <w:adjustRightInd w:val="0"/>
        <w:rPr>
          <w:rFonts w:eastAsia="Calibri" w:cs="Arial"/>
          <w:sz w:val="22"/>
          <w:szCs w:val="22"/>
        </w:rPr>
      </w:pPr>
      <w:r w:rsidRPr="001C6756">
        <w:rPr>
          <w:rFonts w:eastAsia="Calibri" w:cs="Arial"/>
          <w:sz w:val="22"/>
          <w:szCs w:val="22"/>
        </w:rPr>
        <w:t xml:space="preserve">If service user, carer and staff surveys have been undertaken in relation to the service the results or reports should be sent to the commissioner. </w:t>
      </w:r>
    </w:p>
    <w:p w14:paraId="581400AF" w14:textId="77777777" w:rsidR="00ED27BC" w:rsidRPr="001C6756" w:rsidRDefault="00ED27BC" w:rsidP="00CD25EA">
      <w:pPr>
        <w:tabs>
          <w:tab w:val="left" w:pos="0"/>
        </w:tabs>
        <w:autoSpaceDE w:val="0"/>
        <w:autoSpaceDN w:val="0"/>
        <w:adjustRightInd w:val="0"/>
        <w:rPr>
          <w:rFonts w:eastAsia="Calibri" w:cs="Arial"/>
          <w:sz w:val="22"/>
          <w:szCs w:val="22"/>
        </w:rPr>
      </w:pPr>
    </w:p>
    <w:p w14:paraId="7E4D2148" w14:textId="2DDED166" w:rsidR="00CD25EA" w:rsidRPr="001C6756" w:rsidRDefault="00CC616F" w:rsidP="00CD25EA">
      <w:pPr>
        <w:tabs>
          <w:tab w:val="left" w:pos="0"/>
        </w:tabs>
        <w:autoSpaceDE w:val="0"/>
        <w:autoSpaceDN w:val="0"/>
        <w:adjustRightInd w:val="0"/>
        <w:rPr>
          <w:rFonts w:cs="Arial"/>
          <w:sz w:val="22"/>
          <w:szCs w:val="22"/>
          <w:lang w:val="en-US"/>
        </w:rPr>
      </w:pPr>
      <w:r w:rsidRPr="001C6756">
        <w:rPr>
          <w:rFonts w:eastAsia="Calibri" w:cs="Arial"/>
          <w:sz w:val="22"/>
          <w:szCs w:val="22"/>
        </w:rPr>
        <w:t>We request that all practices involved in this service will co-operate with any surveys initiated by Public Health.</w:t>
      </w:r>
    </w:p>
    <w:p w14:paraId="7002C93B" w14:textId="77777777" w:rsidR="00CD25EA" w:rsidRDefault="00CD25EA" w:rsidP="00CD25EA">
      <w:pPr>
        <w:suppressAutoHyphens w:val="0"/>
        <w:spacing w:after="200" w:line="276" w:lineRule="auto"/>
        <w:jc w:val="left"/>
        <w:rPr>
          <w:rFonts w:cs="Arial"/>
          <w:b/>
          <w:sz w:val="22"/>
          <w:szCs w:val="22"/>
        </w:rPr>
      </w:pPr>
    </w:p>
    <w:p w14:paraId="5230EBBC" w14:textId="35EEC2DD" w:rsidR="00D8193C" w:rsidRPr="00BA6628" w:rsidRDefault="00D8193C" w:rsidP="00D8193C">
      <w:pPr>
        <w:rPr>
          <w:sz w:val="22"/>
          <w:szCs w:val="22"/>
        </w:rPr>
      </w:pPr>
    </w:p>
    <w:p w14:paraId="4009105C" w14:textId="37A9D202" w:rsidR="00EB433C" w:rsidRPr="00D75242" w:rsidRDefault="00EB433C" w:rsidP="00EB433C">
      <w:pPr>
        <w:jc w:val="center"/>
        <w:rPr>
          <w:rFonts w:ascii="Arial Bold" w:hAnsi="Arial Bold" w:cs="Arial"/>
          <w:b/>
          <w:szCs w:val="24"/>
        </w:rPr>
      </w:pPr>
      <w:r w:rsidRPr="00D75242">
        <w:rPr>
          <w:rFonts w:ascii="Arial Bold" w:hAnsi="Arial Bold" w:cs="Arial"/>
          <w:b/>
          <w:szCs w:val="24"/>
        </w:rPr>
        <w:lastRenderedPageBreak/>
        <w:t xml:space="preserve">APPENDIX </w:t>
      </w:r>
      <w:r w:rsidR="006E41B6" w:rsidRPr="00D75242">
        <w:rPr>
          <w:rFonts w:ascii="Arial Bold" w:hAnsi="Arial Bold" w:cs="Arial"/>
          <w:b/>
          <w:szCs w:val="24"/>
        </w:rPr>
        <w:t>E</w:t>
      </w:r>
    </w:p>
    <w:p w14:paraId="36C57CDA" w14:textId="77777777" w:rsidR="00EB433C" w:rsidRPr="00BA6628" w:rsidRDefault="00EB433C" w:rsidP="00EB433C">
      <w:pPr>
        <w:jc w:val="center"/>
        <w:rPr>
          <w:rFonts w:ascii="Arial Bold" w:hAnsi="Arial Bold" w:cs="Arial"/>
          <w:b/>
          <w:sz w:val="22"/>
          <w:szCs w:val="22"/>
          <w:u w:val="single"/>
        </w:rPr>
      </w:pPr>
    </w:p>
    <w:p w14:paraId="51539275" w14:textId="77777777" w:rsidR="00EB433C" w:rsidRPr="00BA6628" w:rsidRDefault="00EB433C" w:rsidP="00EB433C">
      <w:pPr>
        <w:jc w:val="center"/>
        <w:rPr>
          <w:rFonts w:cs="Arial"/>
          <w:b/>
          <w:sz w:val="22"/>
          <w:szCs w:val="22"/>
        </w:rPr>
      </w:pPr>
      <w:r w:rsidRPr="00BA6628">
        <w:rPr>
          <w:rFonts w:cs="Arial"/>
          <w:b/>
          <w:sz w:val="22"/>
          <w:szCs w:val="22"/>
        </w:rPr>
        <w:t>CHARGES &amp; PAYMENTS</w:t>
      </w:r>
    </w:p>
    <w:p w14:paraId="0E26757D" w14:textId="77777777" w:rsidR="00EB433C" w:rsidRPr="00BA6628" w:rsidRDefault="00EB433C" w:rsidP="00EB433C">
      <w:pPr>
        <w:rPr>
          <w:rFonts w:cs="Arial"/>
          <w:sz w:val="22"/>
          <w:szCs w:val="22"/>
        </w:rPr>
      </w:pPr>
    </w:p>
    <w:p w14:paraId="7475EDDC" w14:textId="77777777" w:rsidR="00EB433C" w:rsidRPr="00BA6628" w:rsidRDefault="00EB433C" w:rsidP="00EB433C">
      <w:pPr>
        <w:suppressAutoHyphens w:val="0"/>
        <w:rPr>
          <w:b/>
          <w:sz w:val="22"/>
          <w:szCs w:val="22"/>
        </w:rPr>
      </w:pPr>
      <w:r w:rsidRPr="00BA6628">
        <w:rPr>
          <w:b/>
          <w:sz w:val="22"/>
          <w:szCs w:val="22"/>
        </w:rPr>
        <w:t>Terms and Fees</w:t>
      </w:r>
    </w:p>
    <w:p w14:paraId="6B330CA0" w14:textId="2F1131A8" w:rsidR="00EB433C" w:rsidRPr="00BA6628" w:rsidRDefault="00EB433C">
      <w:pPr>
        <w:numPr>
          <w:ilvl w:val="1"/>
          <w:numId w:val="2"/>
        </w:numPr>
        <w:tabs>
          <w:tab w:val="num" w:pos="426"/>
          <w:tab w:val="left" w:pos="709"/>
        </w:tabs>
        <w:suppressAutoHyphens w:val="0"/>
        <w:ind w:left="426" w:hanging="426"/>
        <w:rPr>
          <w:sz w:val="22"/>
          <w:szCs w:val="22"/>
        </w:rPr>
      </w:pPr>
      <w:r w:rsidRPr="00BA6628">
        <w:rPr>
          <w:sz w:val="22"/>
          <w:szCs w:val="22"/>
        </w:rPr>
        <w:t xml:space="preserve">Reimbursement will be made for each voucher dispensed in accordance with the detail set out in the </w:t>
      </w:r>
      <w:r w:rsidR="002F5BE4" w:rsidRPr="00BA6628">
        <w:rPr>
          <w:sz w:val="22"/>
          <w:szCs w:val="22"/>
        </w:rPr>
        <w:t>Vitamin D</w:t>
      </w:r>
      <w:r w:rsidRPr="00BA6628">
        <w:rPr>
          <w:sz w:val="22"/>
          <w:szCs w:val="22"/>
        </w:rPr>
        <w:t xml:space="preserve"> protocol.  Each voucher should be marked to confirm and claim for:</w:t>
      </w:r>
    </w:p>
    <w:p w14:paraId="20785222" w14:textId="77777777" w:rsidR="00EB433C" w:rsidRPr="00BA6628" w:rsidRDefault="00EB433C">
      <w:pPr>
        <w:numPr>
          <w:ilvl w:val="0"/>
          <w:numId w:val="6"/>
        </w:numPr>
        <w:tabs>
          <w:tab w:val="clear" w:pos="1512"/>
          <w:tab w:val="num" w:pos="426"/>
          <w:tab w:val="left" w:pos="709"/>
        </w:tabs>
        <w:suppressAutoHyphens w:val="0"/>
        <w:ind w:hanging="1086"/>
        <w:rPr>
          <w:sz w:val="22"/>
          <w:szCs w:val="22"/>
        </w:rPr>
      </w:pPr>
      <w:r w:rsidRPr="00BA6628">
        <w:rPr>
          <w:sz w:val="22"/>
          <w:szCs w:val="22"/>
        </w:rPr>
        <w:t>Product supplied with strength and quantity</w:t>
      </w:r>
    </w:p>
    <w:p w14:paraId="5848D464" w14:textId="551B05B6" w:rsidR="00154B72" w:rsidRDefault="38F7FBF6" w:rsidP="000E7F5B">
      <w:pPr>
        <w:numPr>
          <w:ilvl w:val="0"/>
          <w:numId w:val="6"/>
        </w:numPr>
        <w:tabs>
          <w:tab w:val="clear" w:pos="1512"/>
          <w:tab w:val="num" w:pos="426"/>
          <w:tab w:val="left" w:pos="709"/>
        </w:tabs>
        <w:suppressAutoHyphens w:val="0"/>
        <w:ind w:hanging="1086"/>
        <w:rPr>
          <w:sz w:val="22"/>
          <w:szCs w:val="22"/>
        </w:rPr>
      </w:pPr>
      <w:r w:rsidRPr="678B48CC">
        <w:rPr>
          <w:sz w:val="22"/>
          <w:szCs w:val="22"/>
        </w:rPr>
        <w:t xml:space="preserve">Cost price </w:t>
      </w:r>
      <w:r w:rsidR="23A73257" w:rsidRPr="678B48CC">
        <w:rPr>
          <w:sz w:val="22"/>
          <w:szCs w:val="22"/>
        </w:rPr>
        <w:t xml:space="preserve">including </w:t>
      </w:r>
      <w:r w:rsidRPr="678B48CC">
        <w:rPr>
          <w:sz w:val="22"/>
          <w:szCs w:val="22"/>
        </w:rPr>
        <w:t>VAT</w:t>
      </w:r>
    </w:p>
    <w:p w14:paraId="46178EBD" w14:textId="106DD3FB" w:rsidR="00154B72" w:rsidRPr="00154B72" w:rsidRDefault="00154B72" w:rsidP="000E7F5B">
      <w:pPr>
        <w:numPr>
          <w:ilvl w:val="0"/>
          <w:numId w:val="6"/>
        </w:numPr>
        <w:tabs>
          <w:tab w:val="clear" w:pos="1512"/>
          <w:tab w:val="num" w:pos="426"/>
          <w:tab w:val="left" w:pos="709"/>
        </w:tabs>
        <w:suppressAutoHyphens w:val="0"/>
        <w:ind w:hanging="1086"/>
        <w:rPr>
          <w:sz w:val="22"/>
          <w:szCs w:val="22"/>
        </w:rPr>
      </w:pPr>
      <w:r w:rsidRPr="678B48CC">
        <w:rPr>
          <w:sz w:val="22"/>
          <w:szCs w:val="22"/>
        </w:rPr>
        <w:t>A supply fee of £</w:t>
      </w:r>
      <w:r w:rsidR="78C944CD" w:rsidRPr="678B48CC">
        <w:rPr>
          <w:sz w:val="22"/>
          <w:szCs w:val="22"/>
        </w:rPr>
        <w:t>5</w:t>
      </w:r>
      <w:r w:rsidRPr="678B48CC">
        <w:rPr>
          <w:sz w:val="22"/>
          <w:szCs w:val="22"/>
        </w:rPr>
        <w:t xml:space="preserve">.00 for processing each voucher.  </w:t>
      </w:r>
    </w:p>
    <w:p w14:paraId="7D83C560" w14:textId="77777777" w:rsidR="00EB433C" w:rsidRPr="00BA6628" w:rsidRDefault="00EB433C" w:rsidP="00EB433C">
      <w:pPr>
        <w:tabs>
          <w:tab w:val="num" w:pos="426"/>
        </w:tabs>
        <w:suppressAutoHyphens w:val="0"/>
        <w:ind w:left="1080" w:hanging="720"/>
        <w:rPr>
          <w:sz w:val="22"/>
          <w:szCs w:val="22"/>
        </w:rPr>
      </w:pPr>
    </w:p>
    <w:p w14:paraId="46DDF8EF" w14:textId="77777777" w:rsidR="00193974" w:rsidRPr="00B81FF3" w:rsidRDefault="00193974" w:rsidP="00193974">
      <w:pPr>
        <w:suppressAutoHyphens w:val="0"/>
        <w:jc w:val="left"/>
        <w:rPr>
          <w:b/>
          <w:sz w:val="20"/>
          <w:szCs w:val="22"/>
        </w:rPr>
      </w:pPr>
      <w:r w:rsidRPr="00B81FF3">
        <w:rPr>
          <w:b/>
          <w:sz w:val="20"/>
          <w:szCs w:val="22"/>
        </w:rPr>
        <w:t>Payment Method</w:t>
      </w:r>
    </w:p>
    <w:p w14:paraId="4CA3C702" w14:textId="77777777" w:rsidR="00193974" w:rsidRDefault="00193974" w:rsidP="00193974">
      <w:pPr>
        <w:numPr>
          <w:ilvl w:val="1"/>
          <w:numId w:val="2"/>
        </w:numPr>
        <w:tabs>
          <w:tab w:val="num" w:pos="426"/>
        </w:tabs>
        <w:suppressAutoHyphens w:val="0"/>
        <w:ind w:left="426" w:hanging="426"/>
        <w:rPr>
          <w:sz w:val="20"/>
          <w:szCs w:val="22"/>
        </w:rPr>
      </w:pPr>
      <w:r>
        <w:rPr>
          <w:sz w:val="20"/>
          <w:szCs w:val="22"/>
        </w:rPr>
        <w:t>Payment</w:t>
      </w:r>
      <w:r w:rsidRPr="00B81FF3">
        <w:rPr>
          <w:sz w:val="20"/>
          <w:szCs w:val="22"/>
        </w:rPr>
        <w:t xml:space="preserve"> will include a </w:t>
      </w:r>
      <w:r>
        <w:rPr>
          <w:sz w:val="20"/>
          <w:szCs w:val="22"/>
        </w:rPr>
        <w:t>supply</w:t>
      </w:r>
      <w:r w:rsidRPr="00B81FF3">
        <w:rPr>
          <w:sz w:val="20"/>
          <w:szCs w:val="22"/>
        </w:rPr>
        <w:t xml:space="preserve"> fee and the cost of product including VAT for the therapy product supplied. </w:t>
      </w:r>
    </w:p>
    <w:p w14:paraId="42167DEE" w14:textId="77777777" w:rsidR="00193974" w:rsidRPr="00B81FF3" w:rsidRDefault="00193974" w:rsidP="00193974">
      <w:pPr>
        <w:numPr>
          <w:ilvl w:val="1"/>
          <w:numId w:val="2"/>
        </w:numPr>
        <w:tabs>
          <w:tab w:val="num" w:pos="426"/>
        </w:tabs>
        <w:suppressAutoHyphens w:val="0"/>
        <w:ind w:left="1080" w:hanging="1080"/>
        <w:rPr>
          <w:sz w:val="20"/>
          <w:szCs w:val="22"/>
        </w:rPr>
      </w:pPr>
      <w:r w:rsidRPr="00B81FF3">
        <w:rPr>
          <w:sz w:val="20"/>
          <w:szCs w:val="22"/>
        </w:rPr>
        <w:t>Payment for the service will be made to the participating contractor.</w:t>
      </w:r>
    </w:p>
    <w:p w14:paraId="73E9E402" w14:textId="77777777" w:rsidR="00193974" w:rsidRDefault="00193974" w:rsidP="00193974">
      <w:pPr>
        <w:suppressAutoHyphens w:val="0"/>
        <w:rPr>
          <w:sz w:val="20"/>
          <w:szCs w:val="22"/>
        </w:rPr>
      </w:pPr>
    </w:p>
    <w:p w14:paraId="6EDD04AE" w14:textId="77777777" w:rsidR="00193974" w:rsidRDefault="00193974" w:rsidP="00193974">
      <w:pPr>
        <w:suppressAutoHyphens w:val="0"/>
        <w:rPr>
          <w:rFonts w:cs="Arial"/>
          <w:b/>
          <w:sz w:val="20"/>
        </w:rPr>
      </w:pPr>
      <w:r>
        <w:rPr>
          <w:rFonts w:cs="Arial"/>
          <w:b/>
          <w:sz w:val="20"/>
        </w:rPr>
        <w:t>Payments</w:t>
      </w:r>
    </w:p>
    <w:p w14:paraId="30096D0A" w14:textId="77777777" w:rsidR="00193974" w:rsidRDefault="00193974" w:rsidP="00193974">
      <w:pPr>
        <w:pStyle w:val="ListParagraph"/>
        <w:numPr>
          <w:ilvl w:val="0"/>
          <w:numId w:val="13"/>
        </w:numPr>
        <w:suppressAutoHyphens w:val="0"/>
        <w:ind w:left="426" w:hanging="426"/>
        <w:rPr>
          <w:rFonts w:cs="Arial"/>
          <w:sz w:val="20"/>
        </w:rPr>
      </w:pPr>
      <w:proofErr w:type="spellStart"/>
      <w:r>
        <w:rPr>
          <w:rFonts w:cs="Arial"/>
          <w:sz w:val="20"/>
        </w:rPr>
        <w:t>PharmOutcomes</w:t>
      </w:r>
      <w:proofErr w:type="spellEnd"/>
      <w:r>
        <w:rPr>
          <w:rFonts w:cs="Arial"/>
          <w:sz w:val="20"/>
        </w:rPr>
        <w:t xml:space="preserve"> enables real time data (including claims) to be seen by both the Pharmacy and the Council.</w:t>
      </w:r>
    </w:p>
    <w:p w14:paraId="74A8ECC6" w14:textId="77777777" w:rsidR="00193974" w:rsidRDefault="00193974" w:rsidP="00193974">
      <w:pPr>
        <w:pStyle w:val="ListParagraph"/>
        <w:numPr>
          <w:ilvl w:val="0"/>
          <w:numId w:val="13"/>
        </w:numPr>
        <w:suppressAutoHyphens w:val="0"/>
        <w:ind w:left="426" w:hanging="426"/>
        <w:rPr>
          <w:rFonts w:cs="Arial"/>
          <w:sz w:val="20"/>
        </w:rPr>
      </w:pPr>
      <w:r>
        <w:rPr>
          <w:rFonts w:cs="Arial"/>
          <w:sz w:val="20"/>
        </w:rPr>
        <w:t>Payments will be made by the Council monthly in arrears by BACS.</w:t>
      </w:r>
    </w:p>
    <w:p w14:paraId="0F906776" w14:textId="77777777" w:rsidR="00193974" w:rsidRDefault="00193974" w:rsidP="00193974">
      <w:pPr>
        <w:pStyle w:val="ListParagraph"/>
        <w:numPr>
          <w:ilvl w:val="0"/>
          <w:numId w:val="13"/>
        </w:numPr>
        <w:suppressAutoHyphens w:val="0"/>
        <w:ind w:left="426" w:hanging="426"/>
        <w:rPr>
          <w:rFonts w:cs="Arial"/>
          <w:sz w:val="20"/>
        </w:rPr>
      </w:pPr>
      <w:r>
        <w:rPr>
          <w:rFonts w:cs="Arial"/>
          <w:sz w:val="20"/>
        </w:rPr>
        <w:t>Payment is subject to adherence to the terms of the service specification.</w:t>
      </w:r>
    </w:p>
    <w:p w14:paraId="31DDD357" w14:textId="2B7ED41C" w:rsidR="00193974" w:rsidRDefault="00193974" w:rsidP="12AB9A3A">
      <w:pPr>
        <w:pStyle w:val="ListParagraph"/>
        <w:numPr>
          <w:ilvl w:val="0"/>
          <w:numId w:val="13"/>
        </w:numPr>
        <w:suppressAutoHyphens w:val="0"/>
        <w:ind w:left="426" w:hanging="426"/>
        <w:rPr>
          <w:rFonts w:cs="Arial"/>
          <w:sz w:val="20"/>
        </w:rPr>
      </w:pPr>
      <w:r w:rsidRPr="12AB9A3A">
        <w:rPr>
          <w:rFonts w:cs="Arial"/>
          <w:sz w:val="20"/>
        </w:rPr>
        <w:t xml:space="preserve">Pharmacies should ensure that all activity is uploaded onto </w:t>
      </w:r>
      <w:proofErr w:type="spellStart"/>
      <w:r w:rsidRPr="12AB9A3A">
        <w:rPr>
          <w:rFonts w:cs="Arial"/>
          <w:sz w:val="20"/>
        </w:rPr>
        <w:t>PharmOutcomes</w:t>
      </w:r>
      <w:proofErr w:type="spellEnd"/>
      <w:r w:rsidRPr="12AB9A3A">
        <w:rPr>
          <w:rFonts w:cs="Arial"/>
          <w:sz w:val="20"/>
        </w:rPr>
        <w:t xml:space="preserve"> by the 6</w:t>
      </w:r>
      <w:r w:rsidRPr="12AB9A3A">
        <w:rPr>
          <w:rFonts w:cs="Arial"/>
          <w:sz w:val="20"/>
          <w:vertAlign w:val="superscript"/>
        </w:rPr>
        <w:t xml:space="preserve">th </w:t>
      </w:r>
      <w:r w:rsidRPr="12AB9A3A">
        <w:rPr>
          <w:rFonts w:cs="Arial"/>
          <w:sz w:val="20"/>
        </w:rPr>
        <w:t>of each month to enable claims to be processed for payment by the Council from the</w:t>
      </w:r>
      <w:r w:rsidR="405060B0" w:rsidRPr="12AB9A3A">
        <w:rPr>
          <w:rFonts w:cs="Arial"/>
          <w:sz w:val="20"/>
        </w:rPr>
        <w:t xml:space="preserve"> </w:t>
      </w:r>
      <w:r w:rsidRPr="12AB9A3A">
        <w:rPr>
          <w:rFonts w:cs="Arial"/>
          <w:sz w:val="20"/>
        </w:rPr>
        <w:t>10</w:t>
      </w:r>
      <w:r w:rsidRPr="12AB9A3A">
        <w:rPr>
          <w:rFonts w:cs="Arial"/>
          <w:sz w:val="20"/>
          <w:vertAlign w:val="superscript"/>
        </w:rPr>
        <w:t>th</w:t>
      </w:r>
      <w:r w:rsidRPr="12AB9A3A">
        <w:rPr>
          <w:rFonts w:cs="Arial"/>
          <w:sz w:val="20"/>
        </w:rPr>
        <w:t xml:space="preserve"> of each month.</w:t>
      </w:r>
    </w:p>
    <w:p w14:paraId="2601704C" w14:textId="77777777" w:rsidR="00193974" w:rsidRPr="00475BE0" w:rsidRDefault="00193974" w:rsidP="00193974">
      <w:pPr>
        <w:pStyle w:val="ListParagraph"/>
        <w:numPr>
          <w:ilvl w:val="0"/>
          <w:numId w:val="13"/>
        </w:numPr>
        <w:suppressAutoHyphens w:val="0"/>
        <w:ind w:left="426" w:hanging="426"/>
        <w:rPr>
          <w:rFonts w:cs="Arial"/>
          <w:sz w:val="20"/>
        </w:rPr>
      </w:pPr>
      <w:r w:rsidRPr="00475BE0">
        <w:rPr>
          <w:sz w:val="20"/>
        </w:rPr>
        <w:t xml:space="preserve">The Council will not reimburse claims for activity that is over 3 months old, so pharmacies need to ensure that activity is uploaded onto </w:t>
      </w:r>
      <w:proofErr w:type="spellStart"/>
      <w:r w:rsidRPr="00475BE0">
        <w:rPr>
          <w:sz w:val="20"/>
        </w:rPr>
        <w:t>PharmOutcomes</w:t>
      </w:r>
      <w:proofErr w:type="spellEnd"/>
      <w:r w:rsidRPr="00475BE0">
        <w:rPr>
          <w:sz w:val="20"/>
        </w:rPr>
        <w:t xml:space="preserve"> on a regular basi</w:t>
      </w:r>
      <w:r>
        <w:rPr>
          <w:sz w:val="20"/>
        </w:rPr>
        <w:t>s</w:t>
      </w:r>
    </w:p>
    <w:p w14:paraId="203DD639" w14:textId="77777777" w:rsidR="00193974" w:rsidRDefault="00193974" w:rsidP="00193974">
      <w:pPr>
        <w:suppressAutoHyphens w:val="0"/>
        <w:rPr>
          <w:rFonts w:cs="Arial"/>
          <w:sz w:val="20"/>
        </w:rPr>
      </w:pPr>
    </w:p>
    <w:p w14:paraId="28811FDE" w14:textId="77777777" w:rsidR="00EB433C" w:rsidRPr="00BA6628" w:rsidRDefault="00EB433C" w:rsidP="00EB433C">
      <w:pPr>
        <w:suppressAutoHyphens w:val="0"/>
        <w:rPr>
          <w:rFonts w:cs="Arial"/>
          <w:b/>
          <w:sz w:val="22"/>
          <w:szCs w:val="22"/>
        </w:rPr>
      </w:pPr>
    </w:p>
    <w:p w14:paraId="18E9395E" w14:textId="77777777" w:rsidR="003B6A44" w:rsidRDefault="003B6A44" w:rsidP="002D4D59">
      <w:pPr>
        <w:suppressAutoHyphens w:val="0"/>
        <w:spacing w:after="200" w:line="276" w:lineRule="auto"/>
        <w:jc w:val="center"/>
        <w:rPr>
          <w:rFonts w:cs="Arial"/>
          <w:b/>
          <w:sz w:val="22"/>
          <w:szCs w:val="22"/>
        </w:rPr>
      </w:pPr>
    </w:p>
    <w:p w14:paraId="62126C6C" w14:textId="4BC3282E" w:rsidR="00AB5620" w:rsidRPr="00BA6628" w:rsidRDefault="00AB5620" w:rsidP="002D4D59">
      <w:pPr>
        <w:suppressAutoHyphens w:val="0"/>
        <w:spacing w:after="200" w:line="276" w:lineRule="auto"/>
        <w:jc w:val="center"/>
        <w:rPr>
          <w:rFonts w:cs="Arial"/>
          <w:b/>
          <w:sz w:val="22"/>
          <w:szCs w:val="22"/>
        </w:rPr>
      </w:pPr>
      <w:r w:rsidRPr="00BA6628">
        <w:rPr>
          <w:rFonts w:cs="Arial"/>
          <w:b/>
          <w:sz w:val="22"/>
          <w:szCs w:val="22"/>
        </w:rPr>
        <w:t>APPENDIX F</w:t>
      </w:r>
    </w:p>
    <w:p w14:paraId="77D6630B" w14:textId="77777777" w:rsidR="00AB5620" w:rsidRPr="00BA6628" w:rsidRDefault="00AB5620" w:rsidP="00AB5620">
      <w:pPr>
        <w:jc w:val="center"/>
        <w:rPr>
          <w:rFonts w:cs="Arial"/>
          <w:b/>
          <w:sz w:val="22"/>
          <w:szCs w:val="22"/>
        </w:rPr>
      </w:pPr>
    </w:p>
    <w:p w14:paraId="76A287D7" w14:textId="77777777" w:rsidR="00AB5620" w:rsidRPr="00BA6628" w:rsidRDefault="00AB5620" w:rsidP="00AB5620">
      <w:pPr>
        <w:jc w:val="center"/>
        <w:rPr>
          <w:rFonts w:cs="Arial"/>
          <w:b/>
          <w:sz w:val="22"/>
          <w:szCs w:val="22"/>
        </w:rPr>
      </w:pPr>
      <w:r w:rsidRPr="00BA6628">
        <w:rPr>
          <w:rFonts w:cs="Arial"/>
          <w:b/>
          <w:sz w:val="22"/>
          <w:szCs w:val="22"/>
        </w:rPr>
        <w:t>SAFEGUARDING POLICIES</w:t>
      </w:r>
    </w:p>
    <w:p w14:paraId="54424435" w14:textId="77777777" w:rsidR="00AB5620" w:rsidRPr="00BA6628" w:rsidRDefault="00AB5620" w:rsidP="00AB5620">
      <w:pPr>
        <w:rPr>
          <w:rFonts w:cs="Arial"/>
          <w:sz w:val="22"/>
          <w:szCs w:val="22"/>
        </w:rPr>
      </w:pPr>
    </w:p>
    <w:p w14:paraId="0D3F7DE6" w14:textId="77777777" w:rsidR="00AB5620" w:rsidRPr="00BA6628" w:rsidRDefault="00AB5620" w:rsidP="00AB5620">
      <w:pPr>
        <w:rPr>
          <w:rFonts w:cs="Arial"/>
          <w:sz w:val="22"/>
          <w:szCs w:val="22"/>
        </w:rPr>
      </w:pPr>
    </w:p>
    <w:p w14:paraId="57CD8F75" w14:textId="06273B4F" w:rsidR="00AB5620" w:rsidRPr="00BA6628" w:rsidRDefault="00AB5620" w:rsidP="00AB5620">
      <w:pPr>
        <w:rPr>
          <w:rFonts w:cs="Arial"/>
          <w:sz w:val="22"/>
          <w:szCs w:val="22"/>
        </w:rPr>
      </w:pPr>
      <w:r w:rsidRPr="00BA6628">
        <w:rPr>
          <w:rFonts w:cs="Arial"/>
          <w:sz w:val="22"/>
          <w:szCs w:val="22"/>
        </w:rPr>
        <w:t>The Provider shall ensure all staff are aware of, trained to a level appropriate to their role and abide by guidance and legislation on Safeguarding (adults).  The Service Provider should ensure that staff are aware of and abide by:</w:t>
      </w:r>
    </w:p>
    <w:p w14:paraId="04057079" w14:textId="77777777" w:rsidR="000A1A1A" w:rsidRPr="00BA6628" w:rsidRDefault="000A1A1A" w:rsidP="00AB5620">
      <w:pPr>
        <w:rPr>
          <w:rFonts w:cs="Arial"/>
          <w:sz w:val="22"/>
          <w:szCs w:val="22"/>
        </w:rPr>
      </w:pPr>
    </w:p>
    <w:p w14:paraId="36660FB9" w14:textId="625729B8" w:rsidR="000A1A1A" w:rsidRPr="00BA6628" w:rsidRDefault="000A1A1A">
      <w:pPr>
        <w:numPr>
          <w:ilvl w:val="0"/>
          <w:numId w:val="12"/>
        </w:numPr>
        <w:suppressAutoHyphens w:val="0"/>
        <w:autoSpaceDE w:val="0"/>
        <w:autoSpaceDN w:val="0"/>
        <w:adjustRightInd w:val="0"/>
        <w:rPr>
          <w:rFonts w:cs="Arial"/>
          <w:sz w:val="22"/>
          <w:szCs w:val="22"/>
          <w:lang w:eastAsia="en-GB"/>
        </w:rPr>
      </w:pPr>
      <w:r w:rsidRPr="00BA6628">
        <w:rPr>
          <w:rFonts w:cs="Arial"/>
          <w:color w:val="000000"/>
          <w:sz w:val="22"/>
          <w:szCs w:val="22"/>
          <w:lang w:eastAsia="en-GB"/>
        </w:rPr>
        <w:t xml:space="preserve">St. Helens Safeguarding Adults Board’s Multi-Agency Safeguarding Policy, Procedures and Good Practice Guidance.  A copy of the latest Edition is available on the Board’s website </w:t>
      </w:r>
      <w:hyperlink r:id="rId13" w:history="1">
        <w:r w:rsidRPr="00BA6628">
          <w:rPr>
            <w:rFonts w:cs="Arial"/>
            <w:color w:val="0000FF" w:themeColor="hyperlink"/>
            <w:sz w:val="22"/>
            <w:szCs w:val="22"/>
            <w:u w:val="single"/>
            <w:lang w:eastAsia="en-GB"/>
          </w:rPr>
          <w:t>https://www.sthelens.gov.uk/media/3514/1401235_st_helens_safeguarding_adults_edition_april_2015.pdf</w:t>
        </w:r>
      </w:hyperlink>
      <w:r w:rsidRPr="00BA6628">
        <w:rPr>
          <w:rFonts w:cs="Arial"/>
          <w:color w:val="000000"/>
          <w:sz w:val="22"/>
          <w:szCs w:val="22"/>
          <w:lang w:eastAsia="en-GB"/>
        </w:rPr>
        <w:t>).</w:t>
      </w:r>
    </w:p>
    <w:p w14:paraId="0475EF1F" w14:textId="77777777" w:rsidR="00AB5620" w:rsidRPr="00BA6628" w:rsidRDefault="00AB5620" w:rsidP="00AB5620">
      <w:pPr>
        <w:rPr>
          <w:rFonts w:cs="Arial"/>
          <w:b/>
          <w:bCs/>
          <w:i/>
          <w:sz w:val="22"/>
          <w:szCs w:val="22"/>
          <w:highlight w:val="yellow"/>
        </w:rPr>
      </w:pPr>
    </w:p>
    <w:p w14:paraId="3B63339B" w14:textId="77777777" w:rsidR="00AB5620" w:rsidRPr="00BA6628" w:rsidRDefault="00AB5620" w:rsidP="00AB5620">
      <w:pPr>
        <w:rPr>
          <w:rFonts w:cs="Arial"/>
          <w:bCs/>
          <w:i/>
          <w:sz w:val="22"/>
          <w:szCs w:val="22"/>
        </w:rPr>
      </w:pPr>
      <w:r w:rsidRPr="00BA6628">
        <w:rPr>
          <w:rFonts w:cs="Arial"/>
          <w:bCs/>
          <w:sz w:val="22"/>
          <w:szCs w:val="22"/>
        </w:rPr>
        <w:t>Th</w:t>
      </w:r>
      <w:r w:rsidRPr="00BA6628">
        <w:rPr>
          <w:rFonts w:cs="Arial"/>
          <w:sz w:val="22"/>
          <w:szCs w:val="22"/>
        </w:rPr>
        <w:t>is should include understanding safeguarding referral procedures and ref</w:t>
      </w:r>
      <w:r w:rsidR="006D09FA" w:rsidRPr="00BA6628">
        <w:rPr>
          <w:rFonts w:cs="Arial"/>
          <w:sz w:val="22"/>
          <w:szCs w:val="22"/>
        </w:rPr>
        <w:t>erral pathways to social care.</w:t>
      </w:r>
    </w:p>
    <w:p w14:paraId="67BF95C0" w14:textId="77777777" w:rsidR="00F81B28" w:rsidRPr="00BA6628" w:rsidRDefault="00F81B28">
      <w:pPr>
        <w:suppressAutoHyphens w:val="0"/>
        <w:spacing w:after="200" w:line="276" w:lineRule="auto"/>
        <w:jc w:val="left"/>
        <w:rPr>
          <w:rFonts w:cs="Arial"/>
          <w:sz w:val="22"/>
          <w:szCs w:val="22"/>
        </w:rPr>
      </w:pPr>
      <w:r w:rsidRPr="00BA6628">
        <w:rPr>
          <w:rFonts w:cs="Arial"/>
          <w:sz w:val="22"/>
          <w:szCs w:val="22"/>
        </w:rPr>
        <w:br w:type="page"/>
      </w:r>
    </w:p>
    <w:p w14:paraId="1DA22D40" w14:textId="77777777" w:rsidR="00525A24" w:rsidRPr="00863AF1" w:rsidRDefault="00525A24" w:rsidP="00525A24">
      <w:pPr>
        <w:suppressAutoHyphens w:val="0"/>
        <w:spacing w:after="200" w:line="276" w:lineRule="auto"/>
        <w:jc w:val="center"/>
        <w:rPr>
          <w:rFonts w:cs="Arial"/>
          <w:b/>
          <w:szCs w:val="24"/>
        </w:rPr>
      </w:pPr>
      <w:r w:rsidRPr="00863AF1">
        <w:rPr>
          <w:rFonts w:cs="Arial"/>
          <w:b/>
          <w:szCs w:val="24"/>
        </w:rPr>
        <w:lastRenderedPageBreak/>
        <w:t>APPENDIX G</w:t>
      </w:r>
    </w:p>
    <w:p w14:paraId="71AEBDCC" w14:textId="77777777" w:rsidR="00525A24" w:rsidRPr="00B1290D" w:rsidRDefault="00525A24" w:rsidP="00525A24">
      <w:pPr>
        <w:jc w:val="center"/>
        <w:rPr>
          <w:rFonts w:cs="Arial"/>
          <w:b/>
          <w:sz w:val="22"/>
          <w:szCs w:val="22"/>
        </w:rPr>
      </w:pPr>
      <w:r w:rsidRPr="00B1290D">
        <w:rPr>
          <w:rFonts w:cs="Arial"/>
          <w:b/>
          <w:sz w:val="22"/>
          <w:szCs w:val="22"/>
        </w:rPr>
        <w:t>INCIDENTS REQUIRING REPORTING PROCEDURE</w:t>
      </w:r>
    </w:p>
    <w:p w14:paraId="57B43B3C" w14:textId="77777777" w:rsidR="00525A24" w:rsidRPr="003379BB" w:rsidRDefault="00525A24" w:rsidP="00525A24">
      <w:pPr>
        <w:rPr>
          <w:rFonts w:cs="Arial"/>
          <w:b/>
          <w:sz w:val="22"/>
          <w:szCs w:val="22"/>
        </w:rPr>
      </w:pPr>
    </w:p>
    <w:p w14:paraId="6AA28549" w14:textId="057C3997" w:rsidR="00B1290D" w:rsidRPr="00B1290D" w:rsidRDefault="00525A24" w:rsidP="00B1290D">
      <w:pPr>
        <w:rPr>
          <w:rFonts w:cs="Arial"/>
          <w:b/>
          <w:iCs/>
          <w:sz w:val="22"/>
          <w:szCs w:val="22"/>
        </w:rPr>
      </w:pPr>
      <w:r w:rsidRPr="00B1290D">
        <w:rPr>
          <w:rFonts w:cs="Arial"/>
          <w:b/>
          <w:iCs/>
          <w:sz w:val="22"/>
          <w:szCs w:val="22"/>
        </w:rPr>
        <w:t xml:space="preserve">Insert pursuant to clause B11 (Incidents Requiring Reporting) procedure for reporting, </w:t>
      </w:r>
    </w:p>
    <w:p w14:paraId="77E036B4" w14:textId="09BA0E5B" w:rsidR="00B1290D" w:rsidRPr="00B1290D" w:rsidRDefault="00B1290D" w:rsidP="00B1290D">
      <w:pPr>
        <w:rPr>
          <w:rFonts w:cs="Arial"/>
          <w:b/>
          <w:i/>
          <w:sz w:val="22"/>
          <w:szCs w:val="22"/>
        </w:rPr>
      </w:pPr>
      <w:r w:rsidRPr="00B1290D">
        <w:rPr>
          <w:rFonts w:cs="Arial"/>
          <w:b/>
          <w:iCs/>
          <w:sz w:val="22"/>
          <w:szCs w:val="22"/>
        </w:rPr>
        <w:t>Insert pursuant to clause B11 (Incidents Requiring Reporting) procedure for reporting, investigating</w:t>
      </w:r>
      <w:r w:rsidRPr="00B1290D">
        <w:rPr>
          <w:rFonts w:cs="Arial"/>
          <w:b/>
          <w:i/>
          <w:sz w:val="22"/>
          <w:szCs w:val="22"/>
        </w:rPr>
        <w:t>, and implementing and sharing Lessons Learned from: (1) Serious Incidents (2) reportable Patient Safety Incidents; and (3) Non-Service User incidents] – See main contract</w:t>
      </w:r>
    </w:p>
    <w:p w14:paraId="6F9F9AE3" w14:textId="77777777" w:rsidR="00B1290D" w:rsidRPr="00B1290D" w:rsidRDefault="00B1290D" w:rsidP="00B1290D">
      <w:pPr>
        <w:jc w:val="center"/>
        <w:rPr>
          <w:rFonts w:cs="Arial"/>
          <w:b/>
          <w:i/>
          <w:sz w:val="22"/>
          <w:szCs w:val="22"/>
        </w:rPr>
      </w:pPr>
    </w:p>
    <w:p w14:paraId="5905EE46" w14:textId="77777777" w:rsidR="00B1290D" w:rsidRPr="00B1290D" w:rsidRDefault="00B1290D" w:rsidP="00B1290D">
      <w:pPr>
        <w:autoSpaceDE w:val="0"/>
        <w:autoSpaceDN w:val="0"/>
        <w:adjustRightInd w:val="0"/>
        <w:rPr>
          <w:rFonts w:cs="Arial"/>
          <w:b/>
          <w:sz w:val="22"/>
          <w:szCs w:val="22"/>
          <w:lang w:eastAsia="en-GB"/>
        </w:rPr>
      </w:pPr>
      <w:r w:rsidRPr="00B1290D">
        <w:rPr>
          <w:rFonts w:cs="Arial"/>
          <w:b/>
          <w:sz w:val="22"/>
          <w:szCs w:val="22"/>
          <w:lang w:eastAsia="en-GB"/>
        </w:rPr>
        <w:t>Serious Untoward Incidents (SUIs)</w:t>
      </w:r>
    </w:p>
    <w:p w14:paraId="5392DE5A" w14:textId="77777777" w:rsidR="00B1290D" w:rsidRPr="00B1290D" w:rsidRDefault="00B1290D" w:rsidP="00B1290D">
      <w:pPr>
        <w:autoSpaceDE w:val="0"/>
        <w:autoSpaceDN w:val="0"/>
        <w:adjustRightInd w:val="0"/>
        <w:rPr>
          <w:rFonts w:cs="Arial"/>
          <w:b/>
          <w:i/>
          <w:sz w:val="22"/>
          <w:szCs w:val="22"/>
          <w:lang w:eastAsia="en-GB"/>
        </w:rPr>
      </w:pPr>
      <w:r w:rsidRPr="00B1290D">
        <w:rPr>
          <w:rFonts w:cs="Arial"/>
          <w:b/>
          <w:i/>
          <w:sz w:val="22"/>
          <w:szCs w:val="22"/>
          <w:lang w:eastAsia="en-GB"/>
        </w:rPr>
        <w:t>* Reporting of SUI will be in line with St Helens Council Public Health Contract requirements.</w:t>
      </w:r>
    </w:p>
    <w:p w14:paraId="44690441" w14:textId="77777777" w:rsidR="00B1290D" w:rsidRPr="00B1290D" w:rsidRDefault="00B1290D" w:rsidP="00B1290D">
      <w:pPr>
        <w:suppressAutoHyphens w:val="0"/>
        <w:spacing w:line="276" w:lineRule="auto"/>
        <w:rPr>
          <w:rFonts w:cs="Arial"/>
          <w:sz w:val="22"/>
          <w:szCs w:val="22"/>
          <w:lang w:eastAsia="en-GB"/>
        </w:rPr>
      </w:pPr>
    </w:p>
    <w:p w14:paraId="0BD4F820" w14:textId="66E1FD52" w:rsidR="00B1290D" w:rsidRPr="00B1290D" w:rsidRDefault="00B1290D" w:rsidP="00B1290D">
      <w:pPr>
        <w:autoSpaceDE w:val="0"/>
        <w:autoSpaceDN w:val="0"/>
        <w:adjustRightInd w:val="0"/>
        <w:rPr>
          <w:rFonts w:cs="Arial"/>
          <w:sz w:val="22"/>
          <w:szCs w:val="22"/>
          <w:lang w:eastAsia="en-GB"/>
        </w:rPr>
      </w:pPr>
      <w:r w:rsidRPr="12AB9A3A">
        <w:rPr>
          <w:rFonts w:cs="Arial"/>
          <w:sz w:val="22"/>
          <w:szCs w:val="22"/>
          <w:lang w:eastAsia="en-GB"/>
        </w:rPr>
        <w:t xml:space="preserve">The Service Provider must report all serious and untoward incidents, complaints and compliments to the commissioners.  Whilst compliments and less serious complaints can be reported as part of monthly or quarterly routine data submissions, serious untoward incidents must be reported at the first available opportunity to the Local Authority Commissioner and within any case, within </w:t>
      </w:r>
      <w:r w:rsidR="5BE37183" w:rsidRPr="12AB9A3A">
        <w:rPr>
          <w:rFonts w:cs="Arial"/>
          <w:sz w:val="22"/>
          <w:szCs w:val="22"/>
          <w:lang w:eastAsia="en-GB"/>
        </w:rPr>
        <w:t>forty-eight</w:t>
      </w:r>
      <w:r w:rsidRPr="12AB9A3A">
        <w:rPr>
          <w:rFonts w:cs="Arial"/>
          <w:sz w:val="22"/>
          <w:szCs w:val="22"/>
          <w:lang w:eastAsia="en-GB"/>
        </w:rPr>
        <w:t xml:space="preserve"> hours.</w:t>
      </w:r>
    </w:p>
    <w:p w14:paraId="043F942F" w14:textId="77777777" w:rsidR="00B1290D" w:rsidRPr="00B1290D" w:rsidRDefault="00B1290D" w:rsidP="00B1290D">
      <w:pPr>
        <w:suppressAutoHyphens w:val="0"/>
        <w:autoSpaceDE w:val="0"/>
        <w:autoSpaceDN w:val="0"/>
        <w:adjustRightInd w:val="0"/>
        <w:rPr>
          <w:rFonts w:cs="Arial"/>
          <w:sz w:val="22"/>
          <w:szCs w:val="22"/>
        </w:rPr>
      </w:pPr>
    </w:p>
    <w:p w14:paraId="1624772A" w14:textId="77777777" w:rsidR="00B1290D" w:rsidRPr="00B1290D" w:rsidRDefault="00B1290D" w:rsidP="00B1290D">
      <w:pPr>
        <w:suppressAutoHyphens w:val="0"/>
        <w:autoSpaceDE w:val="0"/>
        <w:autoSpaceDN w:val="0"/>
        <w:adjustRightInd w:val="0"/>
        <w:rPr>
          <w:rFonts w:cs="Arial"/>
          <w:sz w:val="22"/>
          <w:szCs w:val="22"/>
        </w:rPr>
      </w:pPr>
      <w:r w:rsidRPr="00B1290D">
        <w:rPr>
          <w:rFonts w:cs="Arial"/>
          <w:sz w:val="22"/>
          <w:szCs w:val="22"/>
        </w:rPr>
        <w:t>Serious Untoward Incidents include but are not restricted to:</w:t>
      </w:r>
    </w:p>
    <w:p w14:paraId="0FFC408E" w14:textId="77777777" w:rsidR="00B1290D" w:rsidRPr="00B1290D" w:rsidRDefault="00B1290D" w:rsidP="00B1290D">
      <w:pPr>
        <w:numPr>
          <w:ilvl w:val="0"/>
          <w:numId w:val="14"/>
        </w:numPr>
        <w:suppressAutoHyphens w:val="0"/>
        <w:spacing w:after="200" w:line="276" w:lineRule="auto"/>
        <w:jc w:val="left"/>
        <w:rPr>
          <w:rFonts w:cs="Arial"/>
          <w:sz w:val="22"/>
          <w:szCs w:val="22"/>
        </w:rPr>
      </w:pPr>
      <w:r w:rsidRPr="00B1290D">
        <w:rPr>
          <w:rFonts w:cs="Arial"/>
          <w:sz w:val="22"/>
          <w:szCs w:val="22"/>
        </w:rPr>
        <w:t>Incidents which in any way compromise the safety of service users or staff, including incidents of abuse/violence and how managed</w:t>
      </w:r>
    </w:p>
    <w:p w14:paraId="5B454733" w14:textId="77777777" w:rsidR="00B1290D" w:rsidRPr="00B1290D" w:rsidRDefault="00B1290D" w:rsidP="00B1290D">
      <w:pPr>
        <w:numPr>
          <w:ilvl w:val="0"/>
          <w:numId w:val="14"/>
        </w:numPr>
        <w:suppressAutoHyphens w:val="0"/>
        <w:spacing w:after="200" w:line="276" w:lineRule="auto"/>
        <w:jc w:val="left"/>
        <w:rPr>
          <w:rFonts w:cs="Arial"/>
          <w:sz w:val="22"/>
          <w:szCs w:val="22"/>
        </w:rPr>
      </w:pPr>
      <w:r w:rsidRPr="00B1290D">
        <w:rPr>
          <w:rFonts w:cs="Arial"/>
          <w:sz w:val="22"/>
          <w:szCs w:val="22"/>
        </w:rPr>
        <w:t>Emergencies leading to service restrictions or closures</w:t>
      </w:r>
    </w:p>
    <w:p w14:paraId="0BC95189" w14:textId="77777777" w:rsidR="00B1290D" w:rsidRPr="00B1290D" w:rsidRDefault="00B1290D" w:rsidP="00B1290D">
      <w:pPr>
        <w:numPr>
          <w:ilvl w:val="0"/>
          <w:numId w:val="14"/>
        </w:numPr>
        <w:suppressAutoHyphens w:val="0"/>
        <w:spacing w:after="200" w:line="276" w:lineRule="auto"/>
        <w:jc w:val="left"/>
        <w:rPr>
          <w:rFonts w:cs="Arial"/>
          <w:sz w:val="22"/>
          <w:szCs w:val="22"/>
        </w:rPr>
      </w:pPr>
      <w:r w:rsidRPr="00B1290D">
        <w:rPr>
          <w:rFonts w:cs="Arial"/>
          <w:sz w:val="22"/>
          <w:szCs w:val="22"/>
        </w:rPr>
        <w:t>Staff vacancies causing service disruption (cover or minimum safety)</w:t>
      </w:r>
    </w:p>
    <w:p w14:paraId="3926A3C3" w14:textId="77777777" w:rsidR="00B1290D" w:rsidRPr="00B1290D" w:rsidRDefault="00B1290D" w:rsidP="00B1290D">
      <w:pPr>
        <w:jc w:val="left"/>
        <w:rPr>
          <w:rFonts w:cs="Arial"/>
          <w:sz w:val="22"/>
          <w:szCs w:val="22"/>
        </w:rPr>
      </w:pPr>
      <w:r w:rsidRPr="00B1290D">
        <w:rPr>
          <w:rFonts w:cs="Arial"/>
          <w:sz w:val="22"/>
          <w:szCs w:val="22"/>
          <w:lang w:eastAsia="en-GB"/>
        </w:rPr>
        <w:t>The Service Provider must deliver to the Commissioner a robust Management Board Action Plan detailing the response to the incident and steps that will be taken to remove or minimise future risk.</w:t>
      </w:r>
    </w:p>
    <w:p w14:paraId="1A65408A" w14:textId="77777777" w:rsidR="00B1290D" w:rsidRPr="00B1290D" w:rsidRDefault="00B1290D" w:rsidP="00B1290D">
      <w:pPr>
        <w:jc w:val="left"/>
        <w:rPr>
          <w:rFonts w:cs="Arial"/>
          <w:sz w:val="22"/>
          <w:szCs w:val="22"/>
        </w:rPr>
      </w:pPr>
    </w:p>
    <w:p w14:paraId="3969B9A9" w14:textId="77777777" w:rsidR="00B1290D" w:rsidRPr="00B1290D" w:rsidRDefault="00B1290D" w:rsidP="00B1290D">
      <w:pPr>
        <w:autoSpaceDE w:val="0"/>
        <w:autoSpaceDN w:val="0"/>
        <w:adjustRightInd w:val="0"/>
        <w:rPr>
          <w:rFonts w:cs="Arial"/>
          <w:b/>
          <w:sz w:val="22"/>
          <w:szCs w:val="22"/>
          <w:lang w:eastAsia="en-GB"/>
        </w:rPr>
      </w:pPr>
      <w:r w:rsidRPr="00B1290D">
        <w:rPr>
          <w:rFonts w:cs="Arial"/>
          <w:b/>
          <w:sz w:val="22"/>
          <w:szCs w:val="22"/>
          <w:lang w:eastAsia="en-GB"/>
        </w:rPr>
        <w:t>Adverse Incident or Near Miss</w:t>
      </w:r>
    </w:p>
    <w:p w14:paraId="280465D5" w14:textId="77777777" w:rsidR="00B1290D" w:rsidRPr="00B1290D" w:rsidRDefault="00B1290D" w:rsidP="00B1290D">
      <w:pPr>
        <w:autoSpaceDE w:val="0"/>
        <w:autoSpaceDN w:val="0"/>
        <w:adjustRightInd w:val="0"/>
        <w:rPr>
          <w:rFonts w:cs="Arial"/>
          <w:sz w:val="22"/>
          <w:szCs w:val="22"/>
          <w:lang w:eastAsia="en-GB"/>
        </w:rPr>
      </w:pPr>
      <w:r w:rsidRPr="00B1290D">
        <w:rPr>
          <w:rFonts w:cs="Arial"/>
          <w:sz w:val="22"/>
          <w:szCs w:val="22"/>
          <w:lang w:eastAsia="en-GB"/>
        </w:rPr>
        <w:t xml:space="preserve">In the advent of any ‘adverse incident’ or ‘near </w:t>
      </w:r>
      <w:proofErr w:type="spellStart"/>
      <w:r w:rsidRPr="00B1290D">
        <w:rPr>
          <w:rFonts w:cs="Arial"/>
          <w:sz w:val="22"/>
          <w:szCs w:val="22"/>
          <w:lang w:eastAsia="en-GB"/>
        </w:rPr>
        <w:t>miss’</w:t>
      </w:r>
      <w:proofErr w:type="spellEnd"/>
      <w:r w:rsidRPr="00B1290D">
        <w:rPr>
          <w:rFonts w:cs="Arial"/>
          <w:sz w:val="22"/>
          <w:szCs w:val="22"/>
          <w:lang w:eastAsia="en-GB"/>
        </w:rPr>
        <w:t xml:space="preserve"> the practice must complete the appropriate incident reporting form and demonstrate that the practice has learnt from the incident.</w:t>
      </w:r>
    </w:p>
    <w:p w14:paraId="4BC36343" w14:textId="77777777" w:rsidR="00B1290D" w:rsidRDefault="00B1290D" w:rsidP="00B1290D">
      <w:pPr>
        <w:suppressAutoHyphens w:val="0"/>
        <w:spacing w:after="200" w:line="276" w:lineRule="auto"/>
        <w:jc w:val="left"/>
        <w:rPr>
          <w:rFonts w:cs="Arial"/>
          <w:b/>
          <w:sz w:val="22"/>
          <w:szCs w:val="22"/>
        </w:rPr>
      </w:pPr>
    </w:p>
    <w:p w14:paraId="6114A57D" w14:textId="77777777" w:rsidR="007F7618" w:rsidRDefault="007F7618" w:rsidP="00B1290D">
      <w:pPr>
        <w:jc w:val="center"/>
        <w:rPr>
          <w:rFonts w:cs="Arial"/>
          <w:b/>
          <w:szCs w:val="24"/>
        </w:rPr>
      </w:pPr>
    </w:p>
    <w:p w14:paraId="21C3D4BD" w14:textId="3BFFD82A" w:rsidR="00B1290D" w:rsidRPr="00EA70F8" w:rsidRDefault="00B1290D" w:rsidP="00B1290D">
      <w:pPr>
        <w:jc w:val="center"/>
        <w:rPr>
          <w:rFonts w:cs="Arial"/>
          <w:b/>
          <w:szCs w:val="24"/>
        </w:rPr>
      </w:pPr>
      <w:r w:rsidRPr="00EA70F8">
        <w:rPr>
          <w:rFonts w:cs="Arial"/>
          <w:b/>
          <w:szCs w:val="24"/>
        </w:rPr>
        <w:t>APPENDIX H</w:t>
      </w:r>
    </w:p>
    <w:p w14:paraId="70C51081" w14:textId="77777777" w:rsidR="00B1290D" w:rsidRPr="006D37FB" w:rsidRDefault="00B1290D" w:rsidP="00B1290D">
      <w:pPr>
        <w:jc w:val="center"/>
        <w:rPr>
          <w:rFonts w:cs="Arial"/>
          <w:b/>
          <w:sz w:val="22"/>
          <w:szCs w:val="22"/>
        </w:rPr>
      </w:pPr>
    </w:p>
    <w:p w14:paraId="53170765" w14:textId="77777777" w:rsidR="00B1290D" w:rsidRPr="00B1290D" w:rsidRDefault="00B1290D" w:rsidP="00B1290D">
      <w:pPr>
        <w:jc w:val="center"/>
        <w:rPr>
          <w:rFonts w:ascii="Arial Bold" w:hAnsi="Arial Bold" w:cs="Arial"/>
          <w:b/>
          <w:sz w:val="22"/>
          <w:szCs w:val="22"/>
        </w:rPr>
      </w:pPr>
      <w:r w:rsidRPr="00B1290D">
        <w:rPr>
          <w:rFonts w:ascii="Arial Bold" w:hAnsi="Arial Bold" w:cs="Arial"/>
          <w:b/>
          <w:sz w:val="22"/>
          <w:szCs w:val="22"/>
        </w:rPr>
        <w:t>DATA AND INFORMATION PROVISION</w:t>
      </w:r>
    </w:p>
    <w:p w14:paraId="35838223" w14:textId="77777777" w:rsidR="00B1290D" w:rsidRPr="00241729" w:rsidRDefault="00B1290D" w:rsidP="00B1290D">
      <w:pPr>
        <w:rPr>
          <w:rFonts w:cs="Arial"/>
          <w:sz w:val="22"/>
          <w:szCs w:val="22"/>
        </w:rPr>
      </w:pPr>
    </w:p>
    <w:p w14:paraId="11244765" w14:textId="77777777" w:rsidR="00B1290D" w:rsidRPr="00B1290D" w:rsidRDefault="00B1290D" w:rsidP="00B1290D">
      <w:pPr>
        <w:rPr>
          <w:sz w:val="22"/>
          <w:szCs w:val="22"/>
        </w:rPr>
      </w:pPr>
      <w:r w:rsidRPr="00B1290D">
        <w:rPr>
          <w:sz w:val="22"/>
          <w:szCs w:val="22"/>
        </w:rPr>
        <w:t>Core Dataset – Requirements &amp; Frequency:</w:t>
      </w:r>
    </w:p>
    <w:p w14:paraId="37D39687" w14:textId="77777777" w:rsidR="00B1290D" w:rsidRPr="00B1290D" w:rsidRDefault="00B1290D" w:rsidP="00B1290D">
      <w:pPr>
        <w:rPr>
          <w:sz w:val="22"/>
          <w:szCs w:val="22"/>
        </w:rPr>
      </w:pPr>
    </w:p>
    <w:p w14:paraId="4B4292A8" w14:textId="77777777" w:rsidR="00B1290D" w:rsidRPr="00B1290D" w:rsidRDefault="00B1290D" w:rsidP="00B1290D">
      <w:pPr>
        <w:rPr>
          <w:sz w:val="22"/>
          <w:szCs w:val="22"/>
        </w:rPr>
      </w:pPr>
      <w:r w:rsidRPr="00B1290D">
        <w:rPr>
          <w:sz w:val="22"/>
          <w:szCs w:val="22"/>
        </w:rPr>
        <w:t>Personal data:</w:t>
      </w:r>
    </w:p>
    <w:p w14:paraId="54011A29" w14:textId="77777777" w:rsidR="00B1290D" w:rsidRPr="00B1290D" w:rsidRDefault="00B1290D" w:rsidP="00B1290D">
      <w:pPr>
        <w:rPr>
          <w:sz w:val="22"/>
          <w:szCs w:val="22"/>
        </w:rPr>
      </w:pPr>
      <w:r w:rsidRPr="00B1290D">
        <w:rPr>
          <w:sz w:val="22"/>
          <w:szCs w:val="22"/>
        </w:rPr>
        <w:t>•</w:t>
      </w:r>
      <w:r w:rsidRPr="00B1290D">
        <w:rPr>
          <w:sz w:val="22"/>
          <w:szCs w:val="22"/>
        </w:rPr>
        <w:tab/>
        <w:t xml:space="preserve">full name, </w:t>
      </w:r>
    </w:p>
    <w:p w14:paraId="49557CA6" w14:textId="77777777" w:rsidR="00B1290D" w:rsidRPr="00B1290D" w:rsidRDefault="00B1290D" w:rsidP="00B1290D">
      <w:pPr>
        <w:rPr>
          <w:sz w:val="22"/>
          <w:szCs w:val="22"/>
        </w:rPr>
      </w:pPr>
      <w:r w:rsidRPr="00B1290D">
        <w:rPr>
          <w:sz w:val="22"/>
          <w:szCs w:val="22"/>
        </w:rPr>
        <w:t>•</w:t>
      </w:r>
      <w:r w:rsidRPr="00B1290D">
        <w:rPr>
          <w:sz w:val="22"/>
          <w:szCs w:val="22"/>
        </w:rPr>
        <w:tab/>
        <w:t>full address,</w:t>
      </w:r>
    </w:p>
    <w:p w14:paraId="6F9BB967" w14:textId="77777777" w:rsidR="00B1290D" w:rsidRPr="00B1290D" w:rsidRDefault="00B1290D" w:rsidP="00B1290D">
      <w:pPr>
        <w:rPr>
          <w:sz w:val="22"/>
          <w:szCs w:val="22"/>
        </w:rPr>
      </w:pPr>
      <w:r w:rsidRPr="00B1290D">
        <w:rPr>
          <w:sz w:val="22"/>
          <w:szCs w:val="22"/>
        </w:rPr>
        <w:t>•</w:t>
      </w:r>
      <w:r w:rsidRPr="00B1290D">
        <w:rPr>
          <w:sz w:val="22"/>
          <w:szCs w:val="22"/>
        </w:rPr>
        <w:tab/>
        <w:t>date of birth,</w:t>
      </w:r>
    </w:p>
    <w:p w14:paraId="4424A119" w14:textId="77777777" w:rsidR="00B1290D" w:rsidRPr="00B1290D" w:rsidRDefault="00B1290D" w:rsidP="00B1290D">
      <w:pPr>
        <w:rPr>
          <w:sz w:val="22"/>
          <w:szCs w:val="22"/>
        </w:rPr>
      </w:pPr>
      <w:r w:rsidRPr="00B1290D">
        <w:rPr>
          <w:sz w:val="22"/>
          <w:szCs w:val="22"/>
        </w:rPr>
        <w:t>•</w:t>
      </w:r>
      <w:r w:rsidRPr="00B1290D">
        <w:rPr>
          <w:sz w:val="22"/>
          <w:szCs w:val="22"/>
        </w:rPr>
        <w:tab/>
        <w:t xml:space="preserve">contact number, </w:t>
      </w:r>
    </w:p>
    <w:p w14:paraId="4C451F83" w14:textId="77777777" w:rsidR="00B1290D" w:rsidRPr="00B1290D" w:rsidRDefault="00B1290D" w:rsidP="00B1290D">
      <w:pPr>
        <w:rPr>
          <w:sz w:val="22"/>
          <w:szCs w:val="22"/>
        </w:rPr>
      </w:pPr>
      <w:r w:rsidRPr="00B1290D">
        <w:rPr>
          <w:sz w:val="22"/>
          <w:szCs w:val="22"/>
        </w:rPr>
        <w:t>•</w:t>
      </w:r>
      <w:r w:rsidRPr="00B1290D">
        <w:rPr>
          <w:sz w:val="22"/>
          <w:szCs w:val="22"/>
        </w:rPr>
        <w:tab/>
        <w:t>health conditions,</w:t>
      </w:r>
    </w:p>
    <w:p w14:paraId="12D6BFDB" w14:textId="77777777" w:rsidR="00B1290D" w:rsidRPr="00B1290D" w:rsidRDefault="00B1290D" w:rsidP="00B1290D">
      <w:pPr>
        <w:rPr>
          <w:sz w:val="22"/>
          <w:szCs w:val="22"/>
        </w:rPr>
      </w:pPr>
      <w:r w:rsidRPr="00B1290D">
        <w:rPr>
          <w:sz w:val="22"/>
          <w:szCs w:val="22"/>
        </w:rPr>
        <w:t>•</w:t>
      </w:r>
      <w:r w:rsidRPr="00B1290D">
        <w:rPr>
          <w:sz w:val="22"/>
          <w:szCs w:val="22"/>
        </w:rPr>
        <w:tab/>
        <w:t>GP name and address.</w:t>
      </w:r>
    </w:p>
    <w:p w14:paraId="538AF12D" w14:textId="77777777" w:rsidR="00B1290D" w:rsidRPr="00B1290D" w:rsidRDefault="00B1290D" w:rsidP="00B1290D">
      <w:pPr>
        <w:rPr>
          <w:sz w:val="22"/>
          <w:szCs w:val="22"/>
        </w:rPr>
      </w:pPr>
      <w:r w:rsidRPr="00B1290D">
        <w:rPr>
          <w:sz w:val="22"/>
          <w:szCs w:val="22"/>
        </w:rPr>
        <w:t xml:space="preserve">No personal identifiable data to be sent to Commissioners. </w:t>
      </w:r>
    </w:p>
    <w:p w14:paraId="1453232B" w14:textId="77777777" w:rsidR="00B1290D" w:rsidRPr="00B1290D" w:rsidRDefault="00B1290D" w:rsidP="00B1290D">
      <w:pPr>
        <w:rPr>
          <w:sz w:val="22"/>
          <w:szCs w:val="22"/>
        </w:rPr>
      </w:pPr>
    </w:p>
    <w:p w14:paraId="5478D79A" w14:textId="77777777" w:rsidR="00B1290D" w:rsidRPr="00B1290D" w:rsidRDefault="00B1290D" w:rsidP="00B1290D">
      <w:pPr>
        <w:rPr>
          <w:sz w:val="22"/>
          <w:szCs w:val="22"/>
        </w:rPr>
      </w:pPr>
      <w:r w:rsidRPr="00B1290D">
        <w:rPr>
          <w:sz w:val="22"/>
          <w:szCs w:val="22"/>
        </w:rPr>
        <w:t>Data Protection</w:t>
      </w:r>
    </w:p>
    <w:p w14:paraId="3AF40484" w14:textId="77777777" w:rsidR="00B1290D" w:rsidRPr="00B1290D" w:rsidRDefault="00B1290D" w:rsidP="00B1290D">
      <w:pPr>
        <w:rPr>
          <w:sz w:val="22"/>
          <w:szCs w:val="22"/>
        </w:rPr>
      </w:pPr>
      <w:r w:rsidRPr="00B1290D">
        <w:rPr>
          <w:sz w:val="22"/>
          <w:szCs w:val="22"/>
        </w:rPr>
        <w:t>a. Personal data must be protected in accordance with provisions and the principles of the Data Protection Act 1998.</w:t>
      </w:r>
    </w:p>
    <w:p w14:paraId="3E5E0010" w14:textId="77777777" w:rsidR="00B1290D" w:rsidRPr="00B1290D" w:rsidRDefault="00B1290D" w:rsidP="00B1290D">
      <w:pPr>
        <w:rPr>
          <w:sz w:val="22"/>
          <w:szCs w:val="22"/>
        </w:rPr>
      </w:pPr>
      <w:r w:rsidRPr="00B1290D">
        <w:rPr>
          <w:sz w:val="22"/>
          <w:szCs w:val="22"/>
        </w:rPr>
        <w:t>b. Client data constitutes a medical record and must therefore be kept for eight years or until the client’s 25th birthday, whichever is the greater.</w:t>
      </w:r>
    </w:p>
    <w:p w14:paraId="373543EC" w14:textId="77777777" w:rsidR="00B1290D" w:rsidRPr="00B1290D" w:rsidRDefault="00B1290D" w:rsidP="00B1290D">
      <w:pPr>
        <w:rPr>
          <w:sz w:val="22"/>
          <w:szCs w:val="22"/>
        </w:rPr>
      </w:pPr>
      <w:r w:rsidRPr="00B1290D">
        <w:rPr>
          <w:sz w:val="22"/>
          <w:szCs w:val="22"/>
        </w:rPr>
        <w:t>c. Records of clients who are pregnant or breastfeeding must be kept for 25 years.</w:t>
      </w:r>
    </w:p>
    <w:p w14:paraId="3044954E" w14:textId="117B93F9" w:rsidR="00E06EE7" w:rsidRPr="00BA6628" w:rsidRDefault="00E06EE7" w:rsidP="00B1290D">
      <w:pPr>
        <w:rPr>
          <w:rFonts w:cs="Arial"/>
          <w:sz w:val="22"/>
          <w:szCs w:val="22"/>
          <w:lang w:eastAsia="en-GB"/>
        </w:rPr>
      </w:pPr>
    </w:p>
    <w:p w14:paraId="52208B54" w14:textId="77777777" w:rsidR="000A2851" w:rsidRPr="00BA6628" w:rsidRDefault="000A2851" w:rsidP="000A2851">
      <w:pPr>
        <w:suppressAutoHyphens w:val="0"/>
        <w:jc w:val="left"/>
        <w:rPr>
          <w:rFonts w:cs="Arial"/>
          <w:b/>
          <w:sz w:val="22"/>
          <w:szCs w:val="22"/>
        </w:rPr>
      </w:pPr>
    </w:p>
    <w:p w14:paraId="791AD750" w14:textId="0A332B7F" w:rsidR="006E41B6" w:rsidRPr="007F7618" w:rsidRDefault="00AB5620" w:rsidP="007F7618">
      <w:pPr>
        <w:suppressAutoHyphens w:val="0"/>
        <w:spacing w:after="200" w:line="276" w:lineRule="auto"/>
        <w:jc w:val="center"/>
        <w:rPr>
          <w:rFonts w:ascii="Arial Bold" w:hAnsi="Arial Bold" w:cs="Arial"/>
          <w:b/>
          <w:szCs w:val="24"/>
        </w:rPr>
      </w:pPr>
      <w:r w:rsidRPr="00BA6628">
        <w:rPr>
          <w:rFonts w:cs="Arial"/>
          <w:b/>
          <w:sz w:val="22"/>
          <w:szCs w:val="22"/>
        </w:rPr>
        <w:br w:type="page"/>
      </w:r>
      <w:r w:rsidR="006E41B6" w:rsidRPr="007F7618">
        <w:rPr>
          <w:rFonts w:ascii="Arial Bold" w:hAnsi="Arial Bold" w:cs="Arial"/>
          <w:b/>
          <w:szCs w:val="24"/>
        </w:rPr>
        <w:lastRenderedPageBreak/>
        <w:t>APPENDIX I</w:t>
      </w:r>
    </w:p>
    <w:p w14:paraId="15C31BCA" w14:textId="77777777" w:rsidR="006E41B6" w:rsidRPr="00BA6628" w:rsidRDefault="006E41B6" w:rsidP="006E41B6">
      <w:pPr>
        <w:jc w:val="center"/>
        <w:rPr>
          <w:rFonts w:cs="Arial"/>
          <w:b/>
          <w:sz w:val="22"/>
          <w:szCs w:val="22"/>
        </w:rPr>
      </w:pPr>
    </w:p>
    <w:p w14:paraId="790DD471" w14:textId="77777777" w:rsidR="006E41B6" w:rsidRPr="00BA6628" w:rsidRDefault="006E41B6" w:rsidP="006E41B6">
      <w:pPr>
        <w:jc w:val="center"/>
        <w:rPr>
          <w:rFonts w:cs="Arial"/>
          <w:sz w:val="22"/>
          <w:szCs w:val="22"/>
        </w:rPr>
      </w:pPr>
      <w:r w:rsidRPr="00BA6628">
        <w:rPr>
          <w:rFonts w:cs="Arial"/>
          <w:b/>
          <w:sz w:val="22"/>
          <w:szCs w:val="22"/>
        </w:rPr>
        <w:t>TRANSFER OF AND DISCHARGE FROM CARE PROTOCOLS</w:t>
      </w:r>
      <w:r w:rsidRPr="00BA6628">
        <w:rPr>
          <w:rFonts w:cs="Arial"/>
          <w:sz w:val="22"/>
          <w:szCs w:val="22"/>
        </w:rPr>
        <w:t xml:space="preserve"> </w:t>
      </w:r>
    </w:p>
    <w:p w14:paraId="229BFEDE" w14:textId="77777777" w:rsidR="006E41B6" w:rsidRPr="00BA6628" w:rsidRDefault="006E41B6" w:rsidP="006E41B6">
      <w:pPr>
        <w:rPr>
          <w:rFonts w:cs="Arial"/>
          <w:sz w:val="22"/>
          <w:szCs w:val="22"/>
        </w:rPr>
      </w:pPr>
    </w:p>
    <w:p w14:paraId="558D6263" w14:textId="77777777" w:rsidR="006E41B6" w:rsidRPr="00BA6628" w:rsidRDefault="006E41B6" w:rsidP="006E41B6">
      <w:pPr>
        <w:jc w:val="left"/>
        <w:rPr>
          <w:rFonts w:cs="Arial"/>
          <w:i/>
          <w:sz w:val="22"/>
          <w:szCs w:val="22"/>
        </w:rPr>
      </w:pPr>
      <w:r w:rsidRPr="00BA6628">
        <w:rPr>
          <w:rFonts w:cs="Arial"/>
          <w:sz w:val="22"/>
          <w:szCs w:val="22"/>
        </w:rPr>
        <w:t>[</w:t>
      </w:r>
      <w:r w:rsidRPr="00BA6628">
        <w:rPr>
          <w:rFonts w:cs="Arial"/>
          <w:i/>
          <w:sz w:val="22"/>
          <w:szCs w:val="22"/>
        </w:rPr>
        <w:t>Insert any locally agreed protocols including contents for discharge correspondence and relevant timescales for delivering such correspondence</w:t>
      </w:r>
      <w:r w:rsidRPr="00BA6628">
        <w:rPr>
          <w:rFonts w:cs="Arial"/>
          <w:sz w:val="22"/>
          <w:szCs w:val="22"/>
        </w:rPr>
        <w:t>]</w:t>
      </w:r>
      <w:r w:rsidRPr="00BA6628">
        <w:rPr>
          <w:rFonts w:cs="Arial"/>
          <w:i/>
          <w:sz w:val="22"/>
          <w:szCs w:val="22"/>
        </w:rPr>
        <w:t xml:space="preserve"> </w:t>
      </w:r>
    </w:p>
    <w:p w14:paraId="2C0464B4" w14:textId="77777777" w:rsidR="006E41B6" w:rsidRPr="00BA6628" w:rsidRDefault="006E41B6" w:rsidP="006E41B6">
      <w:pPr>
        <w:jc w:val="left"/>
        <w:rPr>
          <w:rFonts w:cs="Arial"/>
          <w:i/>
          <w:sz w:val="22"/>
          <w:szCs w:val="22"/>
        </w:rPr>
      </w:pPr>
    </w:p>
    <w:p w14:paraId="3F982715" w14:textId="4C6E2CD2" w:rsidR="006E41B6" w:rsidRPr="00BA6628" w:rsidRDefault="006E41B6" w:rsidP="006E41B6">
      <w:pPr>
        <w:jc w:val="left"/>
        <w:rPr>
          <w:rFonts w:cs="Arial"/>
          <w:i/>
          <w:sz w:val="22"/>
          <w:szCs w:val="22"/>
        </w:rPr>
      </w:pPr>
    </w:p>
    <w:p w14:paraId="39BA588B" w14:textId="3CE3A7AF" w:rsidR="00141CE4" w:rsidRPr="00BA6628" w:rsidRDefault="00141CE4" w:rsidP="006E41B6">
      <w:pPr>
        <w:jc w:val="left"/>
        <w:rPr>
          <w:rFonts w:cs="Arial"/>
          <w:i/>
          <w:sz w:val="22"/>
          <w:szCs w:val="22"/>
        </w:rPr>
      </w:pPr>
    </w:p>
    <w:p w14:paraId="04A4C097" w14:textId="77777777" w:rsidR="00141CE4" w:rsidRPr="00BA6628" w:rsidRDefault="00141CE4" w:rsidP="006E41B6">
      <w:pPr>
        <w:jc w:val="left"/>
        <w:rPr>
          <w:rFonts w:cs="Arial"/>
          <w:i/>
          <w:sz w:val="22"/>
          <w:szCs w:val="22"/>
        </w:rPr>
      </w:pPr>
    </w:p>
    <w:p w14:paraId="4B20145D" w14:textId="77777777" w:rsidR="006E41B6" w:rsidRPr="00BA6628" w:rsidRDefault="006E41B6" w:rsidP="006E41B6">
      <w:pPr>
        <w:jc w:val="center"/>
        <w:rPr>
          <w:rFonts w:cs="Arial"/>
          <w:b/>
          <w:i/>
          <w:sz w:val="22"/>
          <w:szCs w:val="22"/>
        </w:rPr>
      </w:pPr>
    </w:p>
    <w:p w14:paraId="28BA156B" w14:textId="77777777" w:rsidR="006E41B6" w:rsidRPr="00E0501B" w:rsidRDefault="006E41B6" w:rsidP="00E0501B">
      <w:pPr>
        <w:suppressAutoHyphens w:val="0"/>
        <w:spacing w:after="200" w:line="276" w:lineRule="auto"/>
        <w:jc w:val="center"/>
        <w:rPr>
          <w:rFonts w:ascii="Arial Bold" w:hAnsi="Arial Bold" w:cs="Arial"/>
          <w:b/>
          <w:szCs w:val="24"/>
        </w:rPr>
      </w:pPr>
      <w:r w:rsidRPr="00E0501B">
        <w:rPr>
          <w:rFonts w:ascii="Arial Bold" w:hAnsi="Arial Bold" w:cs="Arial"/>
          <w:b/>
          <w:szCs w:val="24"/>
        </w:rPr>
        <w:t>APPENDIX J</w:t>
      </w:r>
    </w:p>
    <w:p w14:paraId="05D4775A" w14:textId="77777777" w:rsidR="006E41B6" w:rsidRPr="00BA6628" w:rsidRDefault="006E41B6" w:rsidP="006E41B6">
      <w:pPr>
        <w:jc w:val="center"/>
        <w:rPr>
          <w:rFonts w:cs="Arial"/>
          <w:b/>
          <w:sz w:val="22"/>
          <w:szCs w:val="22"/>
        </w:rPr>
      </w:pPr>
    </w:p>
    <w:p w14:paraId="42F36421" w14:textId="77777777" w:rsidR="006E41B6" w:rsidRPr="00BA6628" w:rsidRDefault="006E41B6" w:rsidP="006E41B6">
      <w:pPr>
        <w:jc w:val="center"/>
        <w:rPr>
          <w:rFonts w:cs="Arial"/>
          <w:b/>
          <w:sz w:val="22"/>
          <w:szCs w:val="22"/>
        </w:rPr>
      </w:pPr>
      <w:r w:rsidRPr="00BA6628">
        <w:rPr>
          <w:rFonts w:cs="Arial"/>
          <w:b/>
          <w:sz w:val="22"/>
          <w:szCs w:val="22"/>
        </w:rPr>
        <w:t>SERVICE QUALITY PERFORMANCE REPORT</w:t>
      </w:r>
    </w:p>
    <w:p w14:paraId="0E5514D1" w14:textId="77777777" w:rsidR="006E41B6" w:rsidRPr="00BA6628" w:rsidRDefault="006E41B6" w:rsidP="006E41B6">
      <w:pPr>
        <w:jc w:val="left"/>
        <w:rPr>
          <w:rFonts w:cs="Arial"/>
          <w:b/>
          <w:sz w:val="22"/>
          <w:szCs w:val="22"/>
        </w:rPr>
      </w:pPr>
    </w:p>
    <w:p w14:paraId="710C4CB2" w14:textId="77777777" w:rsidR="006E41B6" w:rsidRPr="00BA6628" w:rsidRDefault="006E41B6" w:rsidP="006E41B6">
      <w:pPr>
        <w:jc w:val="left"/>
        <w:rPr>
          <w:rFonts w:cs="Arial"/>
          <w:i/>
          <w:sz w:val="22"/>
          <w:szCs w:val="22"/>
        </w:rPr>
      </w:pPr>
      <w:r w:rsidRPr="00BA6628">
        <w:rPr>
          <w:rFonts w:cs="Arial"/>
          <w:i/>
          <w:sz w:val="22"/>
          <w:szCs w:val="22"/>
        </w:rPr>
        <w:t>[Insert format and manner of provision of the Service Quality Performance Report, together with the factors to be measured and reported on]</w:t>
      </w:r>
    </w:p>
    <w:p w14:paraId="7FE74065" w14:textId="77777777" w:rsidR="006E41B6" w:rsidRPr="00BA6628" w:rsidRDefault="006E41B6" w:rsidP="006E41B6">
      <w:pPr>
        <w:tabs>
          <w:tab w:val="left" w:pos="0"/>
        </w:tabs>
        <w:autoSpaceDE w:val="0"/>
        <w:autoSpaceDN w:val="0"/>
        <w:adjustRightInd w:val="0"/>
        <w:rPr>
          <w:rFonts w:cs="Arial"/>
          <w:sz w:val="22"/>
          <w:szCs w:val="22"/>
          <w:lang w:val="en-US"/>
        </w:rPr>
      </w:pPr>
    </w:p>
    <w:p w14:paraId="659E6D15" w14:textId="77777777" w:rsidR="006E41B6" w:rsidRPr="00BA6628" w:rsidRDefault="006E41B6" w:rsidP="006E41B6">
      <w:pPr>
        <w:tabs>
          <w:tab w:val="left" w:pos="0"/>
        </w:tabs>
        <w:autoSpaceDE w:val="0"/>
        <w:autoSpaceDN w:val="0"/>
        <w:adjustRightInd w:val="0"/>
        <w:rPr>
          <w:rFonts w:cs="Arial"/>
          <w:sz w:val="22"/>
          <w:szCs w:val="22"/>
          <w:lang w:val="en-US"/>
        </w:rPr>
      </w:pPr>
    </w:p>
    <w:p w14:paraId="09CBAB5A" w14:textId="77777777" w:rsidR="006E41B6" w:rsidRPr="00BA6628" w:rsidRDefault="006E41B6" w:rsidP="006E41B6">
      <w:pPr>
        <w:tabs>
          <w:tab w:val="left" w:pos="0"/>
        </w:tabs>
        <w:autoSpaceDE w:val="0"/>
        <w:autoSpaceDN w:val="0"/>
        <w:adjustRightInd w:val="0"/>
        <w:rPr>
          <w:rFonts w:cs="Arial"/>
          <w:sz w:val="22"/>
          <w:szCs w:val="22"/>
          <w:lang w:val="en-US"/>
        </w:rPr>
      </w:pPr>
    </w:p>
    <w:p w14:paraId="657964AC" w14:textId="77777777" w:rsidR="006E41B6" w:rsidRPr="00BA6628" w:rsidRDefault="006E41B6" w:rsidP="006E41B6">
      <w:pPr>
        <w:autoSpaceDE w:val="0"/>
        <w:autoSpaceDN w:val="0"/>
        <w:adjustRightInd w:val="0"/>
        <w:rPr>
          <w:rFonts w:cs="Arial"/>
          <w:sz w:val="22"/>
          <w:szCs w:val="22"/>
        </w:rPr>
      </w:pPr>
    </w:p>
    <w:p w14:paraId="168BA1DF" w14:textId="77777777" w:rsidR="00E0501B" w:rsidRDefault="00E0501B" w:rsidP="00E0501B">
      <w:pPr>
        <w:suppressAutoHyphens w:val="0"/>
        <w:spacing w:after="200" w:line="276" w:lineRule="auto"/>
        <w:jc w:val="center"/>
        <w:rPr>
          <w:rFonts w:ascii="Arial Bold" w:hAnsi="Arial Bold" w:cs="Arial"/>
          <w:b/>
          <w:szCs w:val="24"/>
        </w:rPr>
      </w:pPr>
    </w:p>
    <w:p w14:paraId="1B3811A8" w14:textId="20EBF10F" w:rsidR="006E41B6" w:rsidRPr="00E0501B" w:rsidRDefault="006E41B6" w:rsidP="00E0501B">
      <w:pPr>
        <w:suppressAutoHyphens w:val="0"/>
        <w:spacing w:after="200" w:line="276" w:lineRule="auto"/>
        <w:jc w:val="center"/>
        <w:rPr>
          <w:rFonts w:ascii="Arial Bold" w:hAnsi="Arial Bold" w:cs="Arial"/>
          <w:b/>
          <w:szCs w:val="24"/>
        </w:rPr>
      </w:pPr>
      <w:r w:rsidRPr="00E0501B">
        <w:rPr>
          <w:rFonts w:ascii="Arial Bold" w:hAnsi="Arial Bold" w:cs="Arial"/>
          <w:b/>
          <w:szCs w:val="24"/>
        </w:rPr>
        <w:t>APPENDIX K</w:t>
      </w:r>
    </w:p>
    <w:p w14:paraId="510A1885" w14:textId="77777777" w:rsidR="006E41B6" w:rsidRPr="00BA6628" w:rsidRDefault="006E41B6" w:rsidP="006E41B6">
      <w:pPr>
        <w:jc w:val="center"/>
        <w:rPr>
          <w:rFonts w:cs="Arial"/>
          <w:b/>
          <w:sz w:val="22"/>
          <w:szCs w:val="22"/>
        </w:rPr>
      </w:pPr>
    </w:p>
    <w:p w14:paraId="0B5B92E4" w14:textId="77777777" w:rsidR="006E41B6" w:rsidRPr="00BA6628" w:rsidRDefault="006E41B6" w:rsidP="006E41B6">
      <w:pPr>
        <w:jc w:val="center"/>
        <w:rPr>
          <w:rFonts w:cs="Arial"/>
          <w:b/>
          <w:sz w:val="22"/>
          <w:szCs w:val="22"/>
        </w:rPr>
      </w:pPr>
      <w:r w:rsidRPr="00BA6628">
        <w:rPr>
          <w:rFonts w:cs="Arial"/>
          <w:b/>
          <w:sz w:val="22"/>
          <w:szCs w:val="22"/>
        </w:rPr>
        <w:t>DETAILS OF REVIEW MEETINGS</w:t>
      </w:r>
    </w:p>
    <w:p w14:paraId="531EEFDF" w14:textId="77777777" w:rsidR="006E41B6" w:rsidRPr="00BA6628" w:rsidRDefault="006E41B6" w:rsidP="006E41B6">
      <w:pPr>
        <w:jc w:val="left"/>
        <w:rPr>
          <w:rFonts w:cs="Arial"/>
          <w:i/>
          <w:sz w:val="22"/>
          <w:szCs w:val="22"/>
          <w:highlight w:val="darkGreen"/>
        </w:rPr>
      </w:pPr>
    </w:p>
    <w:p w14:paraId="64E51CF2" w14:textId="77777777" w:rsidR="006E41B6" w:rsidRPr="00BA6628" w:rsidRDefault="006E41B6" w:rsidP="006E41B6">
      <w:pPr>
        <w:jc w:val="left"/>
        <w:rPr>
          <w:rFonts w:cs="Arial"/>
          <w:b/>
          <w:i/>
          <w:sz w:val="22"/>
          <w:szCs w:val="22"/>
        </w:rPr>
      </w:pPr>
    </w:p>
    <w:p w14:paraId="44944F13" w14:textId="77777777" w:rsidR="00837963" w:rsidRPr="00BA6628" w:rsidRDefault="00837963" w:rsidP="00837963">
      <w:pPr>
        <w:jc w:val="left"/>
        <w:rPr>
          <w:rFonts w:cs="Arial"/>
          <w:b/>
          <w:sz w:val="22"/>
          <w:szCs w:val="22"/>
        </w:rPr>
      </w:pPr>
      <w:r w:rsidRPr="00BA6628">
        <w:rPr>
          <w:rFonts w:cs="Arial"/>
          <w:b/>
          <w:sz w:val="22"/>
          <w:szCs w:val="22"/>
        </w:rPr>
        <w:t>Formal Contract Meetings</w:t>
      </w:r>
    </w:p>
    <w:p w14:paraId="08AA599B" w14:textId="77777777" w:rsidR="00837963" w:rsidRPr="00BA6628" w:rsidRDefault="00837963" w:rsidP="00837963">
      <w:pPr>
        <w:jc w:val="left"/>
        <w:rPr>
          <w:rFonts w:cs="Arial"/>
          <w:sz w:val="22"/>
          <w:szCs w:val="22"/>
        </w:rPr>
      </w:pPr>
    </w:p>
    <w:p w14:paraId="46EEB2C4" w14:textId="2538CF16" w:rsidR="006E41B6" w:rsidRPr="00BA6628" w:rsidRDefault="00837963" w:rsidP="006E41B6">
      <w:pPr>
        <w:jc w:val="left"/>
        <w:rPr>
          <w:rFonts w:cs="Arial"/>
          <w:sz w:val="22"/>
          <w:szCs w:val="22"/>
        </w:rPr>
      </w:pPr>
      <w:r w:rsidRPr="00BA6628">
        <w:rPr>
          <w:rFonts w:cs="Arial"/>
          <w:sz w:val="22"/>
          <w:szCs w:val="22"/>
        </w:rPr>
        <w:t xml:space="preserve">The St Helens </w:t>
      </w:r>
      <w:r w:rsidR="00845936" w:rsidRPr="00BA6628">
        <w:rPr>
          <w:rFonts w:cs="Arial"/>
          <w:sz w:val="22"/>
          <w:szCs w:val="22"/>
        </w:rPr>
        <w:t>Public Health team</w:t>
      </w:r>
      <w:r w:rsidRPr="00BA6628">
        <w:rPr>
          <w:rFonts w:cs="Arial"/>
          <w:sz w:val="22"/>
          <w:szCs w:val="22"/>
        </w:rPr>
        <w:t xml:space="preserve"> will review the performance and quality of the </w:t>
      </w:r>
      <w:r w:rsidR="00845936" w:rsidRPr="00BA6628">
        <w:rPr>
          <w:rFonts w:cs="Arial"/>
          <w:sz w:val="22"/>
          <w:szCs w:val="22"/>
        </w:rPr>
        <w:t xml:space="preserve">voucher service each month until the end of the </w:t>
      </w:r>
      <w:r w:rsidR="00E0501B" w:rsidRPr="00BA6628">
        <w:rPr>
          <w:rFonts w:cs="Arial"/>
          <w:sz w:val="22"/>
          <w:szCs w:val="22"/>
        </w:rPr>
        <w:t>programme and</w:t>
      </w:r>
      <w:r w:rsidRPr="00BA6628">
        <w:rPr>
          <w:rFonts w:cs="Arial"/>
          <w:sz w:val="22"/>
          <w:szCs w:val="22"/>
        </w:rPr>
        <w:t xml:space="preserve"> will report their findings to Commissioners at the Local Authority.  </w:t>
      </w:r>
    </w:p>
    <w:p w14:paraId="4E4CE776" w14:textId="77777777" w:rsidR="006E41B6" w:rsidRPr="00BA6628" w:rsidRDefault="006E41B6" w:rsidP="006E41B6">
      <w:pPr>
        <w:suppressAutoHyphens w:val="0"/>
        <w:spacing w:after="200" w:line="276" w:lineRule="auto"/>
        <w:jc w:val="left"/>
        <w:rPr>
          <w:rFonts w:cs="Arial"/>
          <w:b/>
          <w:sz w:val="22"/>
          <w:szCs w:val="22"/>
        </w:rPr>
        <w:sectPr w:rsidR="006E41B6" w:rsidRPr="00BA6628" w:rsidSect="0097247C">
          <w:headerReference w:type="even" r:id="rId14"/>
          <w:footerReference w:type="even" r:id="rId15"/>
          <w:footerReference w:type="default" r:id="rId16"/>
          <w:headerReference w:type="first" r:id="rId17"/>
          <w:footerReference w:type="first" r:id="rId18"/>
          <w:pgSz w:w="11906" w:h="16838"/>
          <w:pgMar w:top="1134" w:right="1191" w:bottom="1134" w:left="709" w:header="720" w:footer="553" w:gutter="0"/>
          <w:cols w:space="720"/>
          <w:docGrid w:linePitch="326"/>
        </w:sectPr>
      </w:pPr>
    </w:p>
    <w:p w14:paraId="77588709" w14:textId="77777777" w:rsidR="006E41B6" w:rsidRPr="00180633" w:rsidRDefault="006E41B6" w:rsidP="006E41B6">
      <w:pPr>
        <w:rPr>
          <w:rFonts w:ascii="Arial Bold" w:hAnsi="Arial Bold" w:cs="Arial"/>
          <w:b/>
          <w:szCs w:val="24"/>
        </w:rPr>
      </w:pPr>
    </w:p>
    <w:p w14:paraId="1A415710" w14:textId="77777777" w:rsidR="006E41B6" w:rsidRPr="00180633" w:rsidRDefault="006E41B6" w:rsidP="006E41B6">
      <w:pPr>
        <w:jc w:val="center"/>
        <w:rPr>
          <w:rFonts w:ascii="Arial Bold" w:hAnsi="Arial Bold" w:cs="Arial"/>
          <w:b/>
          <w:szCs w:val="24"/>
        </w:rPr>
      </w:pPr>
      <w:r w:rsidRPr="00180633">
        <w:rPr>
          <w:rFonts w:ascii="Arial Bold" w:hAnsi="Arial Bold" w:cs="Arial"/>
          <w:b/>
          <w:szCs w:val="24"/>
        </w:rPr>
        <w:t>APPENDIX L</w:t>
      </w:r>
    </w:p>
    <w:p w14:paraId="57B5BEC7" w14:textId="77777777" w:rsidR="006E41B6" w:rsidRPr="00BA6628" w:rsidRDefault="006E41B6" w:rsidP="006E41B6">
      <w:pPr>
        <w:jc w:val="center"/>
        <w:rPr>
          <w:rFonts w:cs="Arial"/>
          <w:b/>
          <w:sz w:val="22"/>
          <w:szCs w:val="22"/>
        </w:rPr>
      </w:pPr>
    </w:p>
    <w:p w14:paraId="7264BA72" w14:textId="77777777" w:rsidR="006E41B6" w:rsidRPr="00BA6628" w:rsidRDefault="006E41B6" w:rsidP="006E41B6">
      <w:pPr>
        <w:jc w:val="center"/>
        <w:rPr>
          <w:rFonts w:cs="Arial"/>
          <w:b/>
          <w:sz w:val="22"/>
          <w:szCs w:val="22"/>
        </w:rPr>
      </w:pPr>
      <w:r w:rsidRPr="00BA6628">
        <w:rPr>
          <w:rFonts w:cs="Arial"/>
          <w:b/>
          <w:sz w:val="22"/>
          <w:szCs w:val="22"/>
        </w:rPr>
        <w:t>AGREED VARIATIONS</w:t>
      </w:r>
    </w:p>
    <w:p w14:paraId="1D51A5AC" w14:textId="77777777" w:rsidR="006E41B6" w:rsidRPr="00BA6628" w:rsidRDefault="006E41B6" w:rsidP="006E41B6">
      <w:pPr>
        <w:rPr>
          <w:rFonts w:cs="Arial"/>
          <w:b/>
          <w:sz w:val="22"/>
          <w:szCs w:val="22"/>
        </w:rPr>
      </w:pPr>
    </w:p>
    <w:p w14:paraId="604D6D82" w14:textId="0284385E" w:rsidR="006E41B6" w:rsidRPr="00BA6628" w:rsidRDefault="006E41B6" w:rsidP="006E41B6">
      <w:pPr>
        <w:jc w:val="left"/>
        <w:rPr>
          <w:rFonts w:cs="Arial"/>
          <w:b/>
          <w:sz w:val="22"/>
          <w:szCs w:val="22"/>
        </w:rPr>
      </w:pPr>
      <w:r w:rsidRPr="00180633">
        <w:rPr>
          <w:rFonts w:cs="Arial"/>
          <w:b/>
          <w:color w:val="FFFFFF" w:themeColor="background1"/>
          <w:sz w:val="22"/>
          <w:szCs w:val="22"/>
        </w:rPr>
        <w:t>[</w:t>
      </w:r>
      <w:r w:rsidRPr="00180633">
        <w:rPr>
          <w:rFonts w:cs="Arial"/>
          <w:b/>
          <w:i/>
          <w:sz w:val="22"/>
          <w:szCs w:val="22"/>
        </w:rPr>
        <w:t xml:space="preserve">Insert agreed </w:t>
      </w:r>
      <w:r w:rsidR="00480B38">
        <w:rPr>
          <w:rFonts w:cs="Arial"/>
          <w:b/>
          <w:i/>
          <w:sz w:val="22"/>
          <w:szCs w:val="22"/>
        </w:rPr>
        <w:t>variations</w:t>
      </w:r>
    </w:p>
    <w:p w14:paraId="156EECA5" w14:textId="77777777" w:rsidR="006E41B6" w:rsidRPr="00BA6628" w:rsidRDefault="006E41B6" w:rsidP="006E41B6">
      <w:pPr>
        <w:jc w:val="left"/>
        <w:rPr>
          <w:rFonts w:cs="Arial"/>
          <w:b/>
          <w:sz w:val="22"/>
          <w:szCs w:val="22"/>
        </w:rPr>
      </w:pPr>
    </w:p>
    <w:p w14:paraId="5B79364E" w14:textId="77777777" w:rsidR="006E41B6" w:rsidRPr="00BA6628" w:rsidRDefault="006E41B6" w:rsidP="006E41B6">
      <w:pPr>
        <w:jc w:val="left"/>
        <w:rPr>
          <w:rFonts w:cs="Arial"/>
          <w:b/>
          <w:sz w:val="22"/>
          <w:szCs w:val="22"/>
        </w:rPr>
      </w:pPr>
    </w:p>
    <w:p w14:paraId="5425294C" w14:textId="77777777" w:rsidR="006E41B6" w:rsidRPr="00180633" w:rsidRDefault="006E41B6" w:rsidP="00180633">
      <w:pPr>
        <w:jc w:val="center"/>
        <w:rPr>
          <w:rFonts w:ascii="Arial Bold" w:hAnsi="Arial Bold" w:cs="Arial"/>
          <w:b/>
          <w:szCs w:val="24"/>
        </w:rPr>
      </w:pPr>
    </w:p>
    <w:p w14:paraId="30AE3615" w14:textId="77777777" w:rsidR="006E41B6" w:rsidRPr="00180633" w:rsidRDefault="006E41B6" w:rsidP="00180633">
      <w:pPr>
        <w:jc w:val="center"/>
        <w:rPr>
          <w:rFonts w:ascii="Arial Bold" w:hAnsi="Arial Bold" w:cs="Arial"/>
          <w:b/>
          <w:szCs w:val="24"/>
        </w:rPr>
      </w:pPr>
      <w:r w:rsidRPr="00180633">
        <w:rPr>
          <w:rFonts w:ascii="Arial Bold" w:hAnsi="Arial Bold" w:cs="Arial"/>
          <w:b/>
          <w:szCs w:val="24"/>
        </w:rPr>
        <w:t>APPENDIX M</w:t>
      </w:r>
    </w:p>
    <w:p w14:paraId="265D8591" w14:textId="77777777" w:rsidR="006E41B6" w:rsidRPr="00BA6628" w:rsidRDefault="006E41B6" w:rsidP="006E41B6">
      <w:pPr>
        <w:jc w:val="center"/>
        <w:rPr>
          <w:rFonts w:cs="Arial"/>
          <w:b/>
          <w:sz w:val="22"/>
          <w:szCs w:val="22"/>
        </w:rPr>
      </w:pPr>
    </w:p>
    <w:p w14:paraId="6CD9DF85" w14:textId="77777777" w:rsidR="006E41B6" w:rsidRPr="00BA6628" w:rsidRDefault="006E41B6" w:rsidP="006E41B6">
      <w:pPr>
        <w:jc w:val="center"/>
        <w:rPr>
          <w:rFonts w:cs="Arial"/>
          <w:b/>
          <w:sz w:val="22"/>
          <w:szCs w:val="22"/>
        </w:rPr>
      </w:pPr>
      <w:r w:rsidRPr="00BA6628">
        <w:rPr>
          <w:rFonts w:cs="Arial"/>
          <w:b/>
          <w:sz w:val="22"/>
          <w:szCs w:val="22"/>
        </w:rPr>
        <w:t>DISPUTE RESOLUTION</w:t>
      </w:r>
    </w:p>
    <w:p w14:paraId="7D60D4F8" w14:textId="77777777" w:rsidR="006E41B6" w:rsidRPr="00BA6628" w:rsidRDefault="006E41B6" w:rsidP="006E41B6">
      <w:pPr>
        <w:rPr>
          <w:rFonts w:cs="Arial"/>
          <w:sz w:val="22"/>
          <w:szCs w:val="22"/>
        </w:rPr>
      </w:pPr>
    </w:p>
    <w:p w14:paraId="06D71E6A" w14:textId="30976255" w:rsidR="006E41B6" w:rsidRPr="00BA6628" w:rsidRDefault="00180633" w:rsidP="00180633">
      <w:pPr>
        <w:rPr>
          <w:rFonts w:cs="Arial"/>
          <w:b/>
          <w:sz w:val="22"/>
          <w:szCs w:val="22"/>
        </w:rPr>
      </w:pPr>
      <w:r w:rsidRPr="00180633">
        <w:rPr>
          <w:rFonts w:cs="Arial"/>
          <w:b/>
          <w:sz w:val="22"/>
          <w:szCs w:val="22"/>
        </w:rPr>
        <w:t>Insert</w:t>
      </w:r>
    </w:p>
    <w:p w14:paraId="05B686C7" w14:textId="77777777" w:rsidR="006E41B6" w:rsidRPr="00BA6628" w:rsidRDefault="006E41B6" w:rsidP="006E41B6">
      <w:pPr>
        <w:jc w:val="left"/>
        <w:rPr>
          <w:rFonts w:cs="Arial"/>
          <w:b/>
          <w:sz w:val="22"/>
          <w:szCs w:val="22"/>
        </w:rPr>
      </w:pPr>
    </w:p>
    <w:p w14:paraId="465D3199" w14:textId="77777777" w:rsidR="006E41B6" w:rsidRPr="00BA6628" w:rsidRDefault="006E41B6" w:rsidP="006E41B6">
      <w:pPr>
        <w:jc w:val="left"/>
        <w:rPr>
          <w:rFonts w:cs="Arial"/>
          <w:b/>
          <w:sz w:val="22"/>
          <w:szCs w:val="22"/>
        </w:rPr>
      </w:pPr>
    </w:p>
    <w:p w14:paraId="004481FE" w14:textId="77777777" w:rsidR="006E41B6" w:rsidRPr="00BA6628" w:rsidRDefault="006E41B6" w:rsidP="006E41B6">
      <w:pPr>
        <w:jc w:val="left"/>
        <w:rPr>
          <w:rFonts w:cs="Arial"/>
          <w:b/>
          <w:sz w:val="22"/>
          <w:szCs w:val="22"/>
        </w:rPr>
      </w:pPr>
    </w:p>
    <w:p w14:paraId="5F3BA4B8" w14:textId="77777777" w:rsidR="006E41B6" w:rsidRPr="00BA6628" w:rsidRDefault="006E41B6" w:rsidP="006E41B6">
      <w:pPr>
        <w:jc w:val="center"/>
        <w:rPr>
          <w:rFonts w:ascii="Arial Bold" w:hAnsi="Arial Bold" w:cs="Arial"/>
          <w:b/>
          <w:sz w:val="22"/>
          <w:szCs w:val="22"/>
        </w:rPr>
      </w:pPr>
      <w:r w:rsidRPr="00180633">
        <w:rPr>
          <w:rFonts w:ascii="Arial Bold" w:hAnsi="Arial Bold" w:cs="Arial"/>
          <w:b/>
          <w:szCs w:val="24"/>
        </w:rPr>
        <w:t>APPENDIX N</w:t>
      </w:r>
    </w:p>
    <w:p w14:paraId="0E2B1093" w14:textId="77777777" w:rsidR="006E41B6" w:rsidRPr="00BA6628" w:rsidRDefault="006E41B6" w:rsidP="006E41B6">
      <w:pPr>
        <w:jc w:val="center"/>
        <w:rPr>
          <w:rFonts w:ascii="Arial Bold" w:hAnsi="Arial Bold" w:cs="Arial"/>
          <w:b/>
          <w:sz w:val="22"/>
          <w:szCs w:val="22"/>
        </w:rPr>
      </w:pPr>
    </w:p>
    <w:p w14:paraId="25277E38" w14:textId="77777777" w:rsidR="006E41B6" w:rsidRPr="00BA6628" w:rsidRDefault="006E41B6" w:rsidP="006E41B6">
      <w:pPr>
        <w:jc w:val="center"/>
        <w:rPr>
          <w:rFonts w:cs="Arial"/>
          <w:b/>
          <w:sz w:val="22"/>
          <w:szCs w:val="22"/>
        </w:rPr>
      </w:pPr>
      <w:r w:rsidRPr="00BA6628">
        <w:rPr>
          <w:rFonts w:cs="Arial"/>
          <w:b/>
          <w:sz w:val="22"/>
          <w:szCs w:val="22"/>
        </w:rPr>
        <w:t>SUCCESSION PLAN</w:t>
      </w:r>
    </w:p>
    <w:p w14:paraId="7721E143" w14:textId="77777777" w:rsidR="006E41B6" w:rsidRPr="00BA6628" w:rsidRDefault="006E41B6" w:rsidP="006E41B6">
      <w:pPr>
        <w:rPr>
          <w:rFonts w:cs="Arial"/>
          <w:sz w:val="22"/>
          <w:szCs w:val="22"/>
        </w:rPr>
      </w:pPr>
    </w:p>
    <w:p w14:paraId="69CBCD02" w14:textId="15904A4B" w:rsidR="006E41B6" w:rsidRPr="00BA6628" w:rsidRDefault="00180633" w:rsidP="00180633">
      <w:pPr>
        <w:rPr>
          <w:rFonts w:cs="Arial"/>
          <w:b/>
          <w:sz w:val="22"/>
          <w:szCs w:val="22"/>
        </w:rPr>
      </w:pPr>
      <w:r w:rsidRPr="00180633">
        <w:rPr>
          <w:rFonts w:cs="Arial"/>
          <w:b/>
          <w:sz w:val="22"/>
          <w:szCs w:val="22"/>
        </w:rPr>
        <w:t>Insert</w:t>
      </w:r>
    </w:p>
    <w:p w14:paraId="4A84C7BA" w14:textId="77777777" w:rsidR="006E41B6" w:rsidRPr="00BA6628" w:rsidRDefault="006E41B6" w:rsidP="006E41B6">
      <w:pPr>
        <w:jc w:val="left"/>
        <w:rPr>
          <w:rFonts w:cs="Arial"/>
          <w:b/>
          <w:sz w:val="22"/>
          <w:szCs w:val="22"/>
        </w:rPr>
      </w:pPr>
    </w:p>
    <w:p w14:paraId="1F290FEC" w14:textId="77777777" w:rsidR="0018098F" w:rsidRDefault="0018098F" w:rsidP="0018098F">
      <w:pPr>
        <w:jc w:val="center"/>
        <w:rPr>
          <w:rFonts w:ascii="Arial Bold" w:hAnsi="Arial Bold" w:cs="Arial"/>
          <w:b/>
          <w:szCs w:val="22"/>
        </w:rPr>
      </w:pPr>
    </w:p>
    <w:p w14:paraId="1A602F40" w14:textId="73AA33FC" w:rsidR="0018098F" w:rsidRDefault="0018098F" w:rsidP="0018098F">
      <w:pPr>
        <w:jc w:val="center"/>
        <w:rPr>
          <w:rFonts w:ascii="Arial Bold" w:hAnsi="Arial Bold" w:cs="Arial"/>
          <w:b/>
          <w:szCs w:val="22"/>
        </w:rPr>
      </w:pPr>
    </w:p>
    <w:p w14:paraId="63994F18" w14:textId="0B7C3200" w:rsidR="0018098F" w:rsidRDefault="0018098F" w:rsidP="0018098F">
      <w:pPr>
        <w:jc w:val="center"/>
        <w:rPr>
          <w:rFonts w:ascii="Arial Bold" w:hAnsi="Arial Bold" w:cs="Arial"/>
          <w:b/>
          <w:szCs w:val="22"/>
        </w:rPr>
      </w:pPr>
    </w:p>
    <w:p w14:paraId="3696DB27" w14:textId="54624700" w:rsidR="0018098F" w:rsidRDefault="0018098F" w:rsidP="0018098F">
      <w:pPr>
        <w:jc w:val="center"/>
        <w:rPr>
          <w:rFonts w:ascii="Arial Bold" w:hAnsi="Arial Bold" w:cs="Arial"/>
          <w:b/>
          <w:szCs w:val="22"/>
        </w:rPr>
      </w:pPr>
    </w:p>
    <w:p w14:paraId="594AB10D" w14:textId="217728B3" w:rsidR="0018098F" w:rsidRDefault="0018098F" w:rsidP="0018098F">
      <w:pPr>
        <w:jc w:val="center"/>
        <w:rPr>
          <w:rFonts w:ascii="Arial Bold" w:hAnsi="Arial Bold" w:cs="Arial"/>
          <w:b/>
          <w:szCs w:val="22"/>
        </w:rPr>
      </w:pPr>
    </w:p>
    <w:p w14:paraId="736120DC" w14:textId="70367CD9" w:rsidR="0018098F" w:rsidRDefault="0018098F" w:rsidP="0018098F">
      <w:pPr>
        <w:jc w:val="center"/>
        <w:rPr>
          <w:rFonts w:ascii="Arial Bold" w:hAnsi="Arial Bold" w:cs="Arial"/>
          <w:b/>
          <w:szCs w:val="22"/>
        </w:rPr>
      </w:pPr>
    </w:p>
    <w:p w14:paraId="75608472" w14:textId="12C5EDBF" w:rsidR="0018098F" w:rsidRDefault="0018098F" w:rsidP="0018098F">
      <w:pPr>
        <w:jc w:val="center"/>
        <w:rPr>
          <w:rFonts w:ascii="Arial Bold" w:hAnsi="Arial Bold" w:cs="Arial"/>
          <w:b/>
          <w:szCs w:val="22"/>
        </w:rPr>
      </w:pPr>
    </w:p>
    <w:p w14:paraId="4E3E7441" w14:textId="4CFEC079" w:rsidR="0018098F" w:rsidRDefault="0018098F" w:rsidP="0018098F">
      <w:pPr>
        <w:jc w:val="center"/>
        <w:rPr>
          <w:rFonts w:ascii="Arial Bold" w:hAnsi="Arial Bold" w:cs="Arial"/>
          <w:b/>
          <w:szCs w:val="22"/>
        </w:rPr>
      </w:pPr>
    </w:p>
    <w:p w14:paraId="642ABA25" w14:textId="563415A0" w:rsidR="0018098F" w:rsidRDefault="0018098F" w:rsidP="0018098F">
      <w:pPr>
        <w:jc w:val="center"/>
        <w:rPr>
          <w:rFonts w:ascii="Arial Bold" w:hAnsi="Arial Bold" w:cs="Arial"/>
          <w:b/>
          <w:szCs w:val="22"/>
        </w:rPr>
      </w:pPr>
    </w:p>
    <w:p w14:paraId="272E8274" w14:textId="3E4F6220" w:rsidR="0018098F" w:rsidRDefault="0018098F" w:rsidP="0018098F">
      <w:pPr>
        <w:jc w:val="center"/>
        <w:rPr>
          <w:rFonts w:ascii="Arial Bold" w:hAnsi="Arial Bold" w:cs="Arial"/>
          <w:b/>
          <w:szCs w:val="22"/>
        </w:rPr>
      </w:pPr>
    </w:p>
    <w:p w14:paraId="06743221" w14:textId="32B3E0EC" w:rsidR="0018098F" w:rsidRDefault="0018098F" w:rsidP="0018098F">
      <w:pPr>
        <w:jc w:val="center"/>
        <w:rPr>
          <w:rFonts w:ascii="Arial Bold" w:hAnsi="Arial Bold" w:cs="Arial"/>
          <w:b/>
          <w:szCs w:val="22"/>
        </w:rPr>
      </w:pPr>
    </w:p>
    <w:p w14:paraId="39C89BC5" w14:textId="600CACD5" w:rsidR="0018098F" w:rsidRDefault="0018098F" w:rsidP="0018098F">
      <w:pPr>
        <w:jc w:val="center"/>
        <w:rPr>
          <w:rFonts w:ascii="Arial Bold" w:hAnsi="Arial Bold" w:cs="Arial"/>
          <w:b/>
          <w:szCs w:val="22"/>
        </w:rPr>
      </w:pPr>
    </w:p>
    <w:p w14:paraId="614F402B" w14:textId="385D94D4" w:rsidR="0018098F" w:rsidRDefault="0018098F" w:rsidP="0018098F">
      <w:pPr>
        <w:jc w:val="center"/>
        <w:rPr>
          <w:rFonts w:ascii="Arial Bold" w:hAnsi="Arial Bold" w:cs="Arial"/>
          <w:b/>
          <w:szCs w:val="22"/>
        </w:rPr>
      </w:pPr>
    </w:p>
    <w:p w14:paraId="79234F5F" w14:textId="5AA8DEDB" w:rsidR="0018098F" w:rsidRDefault="0018098F" w:rsidP="0018098F">
      <w:pPr>
        <w:jc w:val="center"/>
        <w:rPr>
          <w:rFonts w:ascii="Arial Bold" w:hAnsi="Arial Bold" w:cs="Arial"/>
          <w:b/>
          <w:szCs w:val="22"/>
        </w:rPr>
      </w:pPr>
    </w:p>
    <w:p w14:paraId="1B7A4E67" w14:textId="3E1E8CE6" w:rsidR="0018098F" w:rsidRDefault="0018098F" w:rsidP="0018098F">
      <w:pPr>
        <w:jc w:val="center"/>
        <w:rPr>
          <w:rFonts w:ascii="Arial Bold" w:hAnsi="Arial Bold" w:cs="Arial"/>
          <w:b/>
          <w:szCs w:val="22"/>
        </w:rPr>
      </w:pPr>
    </w:p>
    <w:p w14:paraId="35103856" w14:textId="4A4DFA7B" w:rsidR="0018098F" w:rsidRDefault="0018098F" w:rsidP="0018098F">
      <w:pPr>
        <w:jc w:val="center"/>
        <w:rPr>
          <w:rFonts w:ascii="Arial Bold" w:hAnsi="Arial Bold" w:cs="Arial"/>
          <w:b/>
          <w:szCs w:val="22"/>
        </w:rPr>
      </w:pPr>
    </w:p>
    <w:p w14:paraId="2C8F2637" w14:textId="0AB9C42E" w:rsidR="0018098F" w:rsidRDefault="0018098F" w:rsidP="0018098F">
      <w:pPr>
        <w:jc w:val="center"/>
        <w:rPr>
          <w:rFonts w:ascii="Arial Bold" w:hAnsi="Arial Bold" w:cs="Arial"/>
          <w:b/>
          <w:szCs w:val="22"/>
        </w:rPr>
      </w:pPr>
    </w:p>
    <w:p w14:paraId="13A7D508" w14:textId="28A44FDA" w:rsidR="0018098F" w:rsidRDefault="0018098F" w:rsidP="0018098F">
      <w:pPr>
        <w:jc w:val="center"/>
        <w:rPr>
          <w:rFonts w:ascii="Arial Bold" w:hAnsi="Arial Bold" w:cs="Arial"/>
          <w:b/>
          <w:szCs w:val="22"/>
        </w:rPr>
      </w:pPr>
    </w:p>
    <w:p w14:paraId="42981DA9" w14:textId="60B6B076" w:rsidR="0018098F" w:rsidRDefault="0018098F" w:rsidP="0018098F">
      <w:pPr>
        <w:jc w:val="center"/>
        <w:rPr>
          <w:rFonts w:ascii="Arial Bold" w:hAnsi="Arial Bold" w:cs="Arial"/>
          <w:b/>
          <w:szCs w:val="22"/>
        </w:rPr>
      </w:pPr>
    </w:p>
    <w:p w14:paraId="5B9C976D" w14:textId="216A1468" w:rsidR="0018098F" w:rsidRDefault="0018098F" w:rsidP="0018098F">
      <w:pPr>
        <w:jc w:val="center"/>
        <w:rPr>
          <w:rFonts w:ascii="Arial Bold" w:hAnsi="Arial Bold" w:cs="Arial"/>
          <w:b/>
          <w:szCs w:val="22"/>
        </w:rPr>
      </w:pPr>
    </w:p>
    <w:p w14:paraId="7D9D8B28" w14:textId="1FF07246" w:rsidR="0018098F" w:rsidRDefault="0018098F" w:rsidP="0018098F">
      <w:pPr>
        <w:jc w:val="center"/>
        <w:rPr>
          <w:rFonts w:ascii="Arial Bold" w:hAnsi="Arial Bold" w:cs="Arial"/>
          <w:b/>
          <w:szCs w:val="22"/>
        </w:rPr>
      </w:pPr>
    </w:p>
    <w:p w14:paraId="665C9AE7" w14:textId="09AF87F5" w:rsidR="0018098F" w:rsidRDefault="0018098F" w:rsidP="0018098F">
      <w:pPr>
        <w:jc w:val="center"/>
        <w:rPr>
          <w:rFonts w:ascii="Arial Bold" w:hAnsi="Arial Bold" w:cs="Arial"/>
          <w:b/>
          <w:szCs w:val="22"/>
        </w:rPr>
      </w:pPr>
    </w:p>
    <w:p w14:paraId="2DFF7508" w14:textId="3C398222" w:rsidR="0018098F" w:rsidRDefault="0018098F" w:rsidP="0018098F">
      <w:pPr>
        <w:jc w:val="center"/>
        <w:rPr>
          <w:rFonts w:ascii="Arial Bold" w:hAnsi="Arial Bold" w:cs="Arial"/>
          <w:b/>
          <w:szCs w:val="22"/>
        </w:rPr>
      </w:pPr>
    </w:p>
    <w:p w14:paraId="05421E1C" w14:textId="5489BDC9" w:rsidR="0018098F" w:rsidRDefault="0018098F" w:rsidP="0018098F">
      <w:pPr>
        <w:jc w:val="center"/>
        <w:rPr>
          <w:rFonts w:ascii="Arial Bold" w:hAnsi="Arial Bold" w:cs="Arial"/>
          <w:b/>
          <w:szCs w:val="22"/>
        </w:rPr>
      </w:pPr>
    </w:p>
    <w:p w14:paraId="4342A8E7" w14:textId="6F567A6F" w:rsidR="0018098F" w:rsidRDefault="0018098F" w:rsidP="0018098F">
      <w:pPr>
        <w:jc w:val="center"/>
        <w:rPr>
          <w:rFonts w:ascii="Arial Bold" w:hAnsi="Arial Bold" w:cs="Arial"/>
          <w:b/>
          <w:szCs w:val="22"/>
        </w:rPr>
      </w:pPr>
    </w:p>
    <w:p w14:paraId="63A3F054" w14:textId="2347B809" w:rsidR="0018098F" w:rsidRDefault="0018098F" w:rsidP="0018098F">
      <w:pPr>
        <w:jc w:val="center"/>
        <w:rPr>
          <w:rFonts w:ascii="Arial Bold" w:hAnsi="Arial Bold" w:cs="Arial"/>
          <w:b/>
          <w:szCs w:val="22"/>
        </w:rPr>
      </w:pPr>
    </w:p>
    <w:p w14:paraId="116BEBDE" w14:textId="77777777" w:rsidR="0018098F" w:rsidRDefault="0018098F" w:rsidP="0018098F">
      <w:pPr>
        <w:jc w:val="center"/>
        <w:rPr>
          <w:rFonts w:ascii="Arial Bold" w:hAnsi="Arial Bold" w:cs="Arial"/>
          <w:b/>
          <w:szCs w:val="22"/>
        </w:rPr>
      </w:pPr>
    </w:p>
    <w:p w14:paraId="0EBF88D8" w14:textId="77777777" w:rsidR="0018098F" w:rsidRDefault="0018098F" w:rsidP="0018098F">
      <w:pPr>
        <w:jc w:val="center"/>
        <w:rPr>
          <w:rFonts w:ascii="Arial Bold" w:hAnsi="Arial Bold" w:cs="Arial"/>
          <w:b/>
          <w:szCs w:val="22"/>
        </w:rPr>
      </w:pPr>
    </w:p>
    <w:p w14:paraId="1E9B0DB1" w14:textId="77777777" w:rsidR="0018098F" w:rsidRDefault="0018098F" w:rsidP="0018098F">
      <w:pPr>
        <w:jc w:val="center"/>
        <w:rPr>
          <w:rFonts w:ascii="Arial Bold" w:hAnsi="Arial Bold" w:cs="Arial"/>
          <w:b/>
          <w:szCs w:val="22"/>
        </w:rPr>
      </w:pPr>
    </w:p>
    <w:p w14:paraId="6E0775C8" w14:textId="64F17825" w:rsidR="0018098F" w:rsidRDefault="0018098F" w:rsidP="0018098F">
      <w:pPr>
        <w:jc w:val="center"/>
        <w:rPr>
          <w:rFonts w:ascii="Arial Bold" w:hAnsi="Arial Bold" w:cs="Arial"/>
          <w:b/>
          <w:szCs w:val="22"/>
        </w:rPr>
      </w:pPr>
      <w:r w:rsidRPr="006470B9">
        <w:rPr>
          <w:rFonts w:ascii="Arial Bold" w:hAnsi="Arial Bold" w:cs="Arial"/>
          <w:b/>
          <w:szCs w:val="22"/>
        </w:rPr>
        <w:lastRenderedPageBreak/>
        <w:t xml:space="preserve">APPENDIX </w:t>
      </w:r>
      <w:r>
        <w:rPr>
          <w:rFonts w:ascii="Arial Bold" w:hAnsi="Arial Bold" w:cs="Arial"/>
          <w:b/>
          <w:szCs w:val="22"/>
        </w:rPr>
        <w:t xml:space="preserve">O – Local treatment protocol </w:t>
      </w:r>
    </w:p>
    <w:p w14:paraId="2F3E7C08" w14:textId="77777777" w:rsidR="0018098F" w:rsidRPr="006470B9" w:rsidRDefault="0018098F" w:rsidP="0018098F">
      <w:pPr>
        <w:rPr>
          <w:rFonts w:ascii="Arial Bold" w:hAnsi="Arial Bold" w:cs="Arial"/>
          <w:b/>
          <w:szCs w:val="22"/>
        </w:rPr>
      </w:pPr>
    </w:p>
    <w:p w14:paraId="05F2BC92" w14:textId="77777777" w:rsidR="0018098F" w:rsidRPr="009D5D7E" w:rsidRDefault="0018098F" w:rsidP="0018098F">
      <w:pPr>
        <w:suppressAutoHyphens w:val="0"/>
        <w:jc w:val="left"/>
        <w:rPr>
          <w:rFonts w:cs="Arial"/>
          <w:b/>
          <w:sz w:val="22"/>
          <w:szCs w:val="22"/>
        </w:rPr>
      </w:pPr>
      <w:r w:rsidRPr="009D5D7E">
        <w:rPr>
          <w:rFonts w:cs="Arial"/>
          <w:b/>
          <w:sz w:val="22"/>
          <w:szCs w:val="22"/>
        </w:rPr>
        <w:t xml:space="preserve">This protocol should be read by all staff who will be supplying vitamin D at the pharmacy setting. </w:t>
      </w:r>
    </w:p>
    <w:p w14:paraId="4C38EC47" w14:textId="77777777" w:rsidR="0018098F" w:rsidRPr="009D5D7E" w:rsidRDefault="0018098F" w:rsidP="0018098F">
      <w:pPr>
        <w:suppressAutoHyphens w:val="0"/>
        <w:jc w:val="left"/>
        <w:rPr>
          <w:rFonts w:cs="Arial"/>
          <w:b/>
          <w:sz w:val="22"/>
          <w:szCs w:val="22"/>
        </w:rPr>
      </w:pPr>
    </w:p>
    <w:p w14:paraId="16C7D6B2" w14:textId="77777777" w:rsidR="00C74316" w:rsidRPr="009D5D7E" w:rsidRDefault="0018098F" w:rsidP="00C74316">
      <w:pPr>
        <w:suppressAutoHyphens w:val="0"/>
        <w:jc w:val="left"/>
        <w:rPr>
          <w:rFonts w:cs="Arial"/>
          <w:b/>
          <w:sz w:val="22"/>
          <w:szCs w:val="22"/>
        </w:rPr>
      </w:pPr>
      <w:r w:rsidRPr="009D5D7E">
        <w:rPr>
          <w:rFonts w:cs="Arial"/>
          <w:bCs/>
          <w:sz w:val="22"/>
          <w:szCs w:val="22"/>
        </w:rPr>
        <w:t xml:space="preserve">First, please read the BNF page on </w:t>
      </w:r>
      <w:proofErr w:type="spellStart"/>
      <w:r w:rsidRPr="009D5D7E">
        <w:rPr>
          <w:rFonts w:cs="Arial"/>
          <w:bCs/>
          <w:sz w:val="22"/>
          <w:szCs w:val="22"/>
        </w:rPr>
        <w:t>Colecalciferol</w:t>
      </w:r>
      <w:proofErr w:type="spellEnd"/>
      <w:r w:rsidRPr="009D5D7E">
        <w:rPr>
          <w:rFonts w:cs="Arial"/>
          <w:bCs/>
          <w:sz w:val="22"/>
          <w:szCs w:val="22"/>
        </w:rPr>
        <w:t xml:space="preserve"> (vitamin D3) here</w:t>
      </w:r>
      <w:r w:rsidR="00C74316">
        <w:rPr>
          <w:rFonts w:cs="Arial"/>
          <w:bCs/>
          <w:sz w:val="22"/>
          <w:szCs w:val="22"/>
        </w:rPr>
        <w:t xml:space="preserve">: </w:t>
      </w:r>
      <w:hyperlink r:id="rId19" w:history="1">
        <w:r w:rsidR="00C74316" w:rsidRPr="009D5D7E">
          <w:rPr>
            <w:rStyle w:val="Hyperlink"/>
            <w:rFonts w:cs="Arial"/>
            <w:b/>
            <w:sz w:val="22"/>
            <w:szCs w:val="22"/>
          </w:rPr>
          <w:t>https://bnf.nice.org.uk/drug/colecalciferol.html</w:t>
        </w:r>
      </w:hyperlink>
      <w:r w:rsidR="00C74316">
        <w:rPr>
          <w:rStyle w:val="Hyperlink"/>
          <w:rFonts w:cs="Arial"/>
          <w:b/>
          <w:sz w:val="22"/>
          <w:szCs w:val="22"/>
        </w:rPr>
        <w:t xml:space="preserve"> </w:t>
      </w:r>
    </w:p>
    <w:p w14:paraId="01A93E53" w14:textId="77777777" w:rsidR="00C74316" w:rsidRDefault="00C74316" w:rsidP="0018098F">
      <w:pPr>
        <w:suppressAutoHyphens w:val="0"/>
        <w:jc w:val="left"/>
        <w:rPr>
          <w:rFonts w:cs="Arial"/>
          <w:bCs/>
          <w:sz w:val="22"/>
          <w:szCs w:val="22"/>
        </w:rPr>
      </w:pPr>
    </w:p>
    <w:p w14:paraId="3ECD4552" w14:textId="32C12469" w:rsidR="0018098F" w:rsidRPr="009D5D7E" w:rsidRDefault="0018098F" w:rsidP="0018098F">
      <w:pPr>
        <w:suppressAutoHyphens w:val="0"/>
        <w:jc w:val="left"/>
        <w:rPr>
          <w:rFonts w:cs="Arial"/>
          <w:b/>
          <w:sz w:val="22"/>
          <w:szCs w:val="22"/>
        </w:rPr>
      </w:pPr>
      <w:r w:rsidRPr="009D5D7E">
        <w:rPr>
          <w:rFonts w:cs="Arial"/>
          <w:bCs/>
          <w:sz w:val="22"/>
          <w:szCs w:val="22"/>
        </w:rPr>
        <w:t xml:space="preserve">The indication is </w:t>
      </w:r>
      <w:r w:rsidRPr="009D5D7E">
        <w:rPr>
          <w:rFonts w:cs="Arial"/>
          <w:b/>
          <w:sz w:val="22"/>
          <w:szCs w:val="22"/>
        </w:rPr>
        <w:t>prevention</w:t>
      </w:r>
      <w:r w:rsidRPr="009D5D7E">
        <w:rPr>
          <w:rFonts w:cs="Arial"/>
          <w:bCs/>
          <w:sz w:val="22"/>
          <w:szCs w:val="22"/>
        </w:rPr>
        <w:t xml:space="preserve"> of vitamin D deficiency, and </w:t>
      </w:r>
      <w:r w:rsidRPr="005268E7">
        <w:rPr>
          <w:rFonts w:cs="Arial"/>
          <w:b/>
          <w:sz w:val="22"/>
          <w:szCs w:val="22"/>
        </w:rPr>
        <w:t>not treatment</w:t>
      </w:r>
      <w:r w:rsidRPr="009D5D7E">
        <w:rPr>
          <w:rFonts w:cs="Arial"/>
          <w:bCs/>
          <w:sz w:val="22"/>
          <w:szCs w:val="22"/>
        </w:rPr>
        <w:t xml:space="preserve"> of vitamin D deficiency. </w:t>
      </w:r>
    </w:p>
    <w:p w14:paraId="63E93959" w14:textId="77777777" w:rsidR="0018098F" w:rsidRPr="009D5D7E" w:rsidRDefault="0018098F" w:rsidP="0018098F">
      <w:pPr>
        <w:suppressAutoHyphens w:val="0"/>
        <w:jc w:val="left"/>
        <w:rPr>
          <w:rFonts w:cs="Arial"/>
          <w:b/>
          <w:sz w:val="22"/>
          <w:szCs w:val="22"/>
        </w:rPr>
      </w:pPr>
    </w:p>
    <w:p w14:paraId="0549EE04" w14:textId="77777777" w:rsidR="0018098F" w:rsidRPr="009D5D7E" w:rsidRDefault="0018098F" w:rsidP="0018098F">
      <w:pPr>
        <w:suppressAutoHyphens w:val="0"/>
        <w:jc w:val="left"/>
        <w:rPr>
          <w:b/>
          <w:bCs/>
          <w:sz w:val="22"/>
          <w:szCs w:val="22"/>
        </w:rPr>
      </w:pPr>
      <w:r w:rsidRPr="009D5D7E">
        <w:rPr>
          <w:b/>
          <w:bCs/>
          <w:sz w:val="22"/>
          <w:szCs w:val="22"/>
        </w:rPr>
        <w:t>Preparations</w:t>
      </w:r>
    </w:p>
    <w:p w14:paraId="003CCB66" w14:textId="77777777" w:rsidR="0018098F" w:rsidRPr="009D5D7E" w:rsidRDefault="0018098F" w:rsidP="0018098F">
      <w:pPr>
        <w:suppressAutoHyphens w:val="0"/>
        <w:jc w:val="left"/>
        <w:rPr>
          <w:b/>
          <w:bCs/>
          <w:sz w:val="22"/>
          <w:szCs w:val="22"/>
        </w:rPr>
      </w:pPr>
    </w:p>
    <w:p w14:paraId="3753C785" w14:textId="231D31D0" w:rsidR="0018098F" w:rsidRPr="009D5D7E" w:rsidRDefault="0018098F" w:rsidP="0018098F">
      <w:pPr>
        <w:suppressAutoHyphens w:val="0"/>
        <w:jc w:val="left"/>
        <w:rPr>
          <w:sz w:val="22"/>
          <w:szCs w:val="22"/>
        </w:rPr>
      </w:pPr>
      <w:r w:rsidRPr="715C5E64">
        <w:rPr>
          <w:sz w:val="22"/>
          <w:szCs w:val="22"/>
        </w:rPr>
        <w:t xml:space="preserve">The following preparations may be supplied. The following preparations provide supply for 1 month. Each voucher entitles supply for </w:t>
      </w:r>
      <w:r w:rsidR="00D9720D" w:rsidRPr="715C5E64">
        <w:rPr>
          <w:sz w:val="22"/>
          <w:szCs w:val="22"/>
        </w:rPr>
        <w:t>4</w:t>
      </w:r>
      <w:r w:rsidRPr="715C5E64">
        <w:rPr>
          <w:sz w:val="22"/>
          <w:szCs w:val="22"/>
        </w:rPr>
        <w:t xml:space="preserve"> months.</w:t>
      </w:r>
    </w:p>
    <w:p w14:paraId="241A0D64" w14:textId="77777777" w:rsidR="0018098F" w:rsidRPr="009D5D7E" w:rsidRDefault="0018098F" w:rsidP="0018098F">
      <w:pPr>
        <w:suppressAutoHyphens w:val="0"/>
        <w:jc w:val="left"/>
        <w:rPr>
          <w:b/>
          <w:bCs/>
          <w:sz w:val="22"/>
          <w:szCs w:val="22"/>
        </w:rPr>
      </w:pPr>
    </w:p>
    <w:p w14:paraId="16806F8D" w14:textId="77777777" w:rsidR="0018098F" w:rsidRPr="009D5D7E" w:rsidRDefault="0018098F" w:rsidP="0018098F">
      <w:pPr>
        <w:rPr>
          <w:b/>
          <w:bCs/>
          <w:sz w:val="22"/>
          <w:szCs w:val="22"/>
        </w:rPr>
      </w:pPr>
      <w:r w:rsidRPr="009D5D7E">
        <w:rPr>
          <w:b/>
          <w:bCs/>
          <w:sz w:val="22"/>
          <w:szCs w:val="22"/>
        </w:rPr>
        <w:t>SunVit-D3 400unit tablets (</w:t>
      </w:r>
      <w:r w:rsidRPr="009D5D7E">
        <w:rPr>
          <w:rStyle w:val="manufacturer"/>
          <w:rFonts w:ascii="Lato" w:eastAsiaTheme="majorEastAsia" w:hAnsi="Lato"/>
          <w:b/>
          <w:bCs/>
          <w:color w:val="0E0E0E"/>
          <w:sz w:val="22"/>
          <w:szCs w:val="22"/>
        </w:rPr>
        <w:t>SunVit-D3 Ltd</w:t>
      </w:r>
      <w:r w:rsidRPr="009D5D7E">
        <w:rPr>
          <w:b/>
          <w:bCs/>
          <w:sz w:val="22"/>
          <w:szCs w:val="22"/>
        </w:rPr>
        <w:t>)</w:t>
      </w:r>
    </w:p>
    <w:tbl>
      <w:tblPr>
        <w:tblW w:w="7377" w:type="dxa"/>
        <w:tblBorders>
          <w:top w:val="single" w:sz="6" w:space="0" w:color="EFF1F3"/>
          <w:left w:val="single" w:sz="6" w:space="0" w:color="EFF1F3"/>
          <w:bottom w:val="single" w:sz="6" w:space="0" w:color="EFF1F3"/>
          <w:right w:val="single" w:sz="6" w:space="0" w:color="EFF1F3"/>
        </w:tblBorders>
        <w:shd w:val="clear" w:color="auto" w:fill="FFFFFF"/>
        <w:tblCellMar>
          <w:top w:w="15" w:type="dxa"/>
          <w:left w:w="15" w:type="dxa"/>
          <w:bottom w:w="15" w:type="dxa"/>
          <w:right w:w="15" w:type="dxa"/>
        </w:tblCellMar>
        <w:tblLook w:val="04A0" w:firstRow="1" w:lastRow="0" w:firstColumn="1" w:lastColumn="0" w:noHBand="0" w:noVBand="1"/>
      </w:tblPr>
      <w:tblGrid>
        <w:gridCol w:w="2973"/>
        <w:gridCol w:w="768"/>
        <w:gridCol w:w="908"/>
        <w:gridCol w:w="2728"/>
      </w:tblGrid>
      <w:tr w:rsidR="0018098F" w:rsidRPr="009D5D7E" w14:paraId="7D2BC94B" w14:textId="77777777" w:rsidTr="05C95E3E">
        <w:trPr>
          <w:tblHeader/>
        </w:trPr>
        <w:tc>
          <w:tcPr>
            <w:tcW w:w="0" w:type="auto"/>
            <w:tcBorders>
              <w:top w:val="nil"/>
              <w:left w:val="single" w:sz="6" w:space="0" w:color="EFF1F3"/>
              <w:bottom w:val="single" w:sz="6" w:space="0" w:color="EFF1F3"/>
              <w:right w:val="single" w:sz="6" w:space="0" w:color="EFF1F3"/>
            </w:tcBorders>
            <w:shd w:val="clear" w:color="auto" w:fill="FFFFFF" w:themeFill="background1"/>
            <w:tcMar>
              <w:top w:w="90" w:type="dxa"/>
              <w:left w:w="90" w:type="dxa"/>
              <w:bottom w:w="90" w:type="dxa"/>
              <w:right w:w="90" w:type="dxa"/>
            </w:tcMar>
            <w:vAlign w:val="bottom"/>
            <w:hideMark/>
          </w:tcPr>
          <w:p w14:paraId="58442CDE" w14:textId="77777777" w:rsidR="0018098F" w:rsidRPr="009D5D7E" w:rsidRDefault="0018098F" w:rsidP="00966B09">
            <w:pPr>
              <w:rPr>
                <w:sz w:val="22"/>
                <w:szCs w:val="22"/>
              </w:rPr>
            </w:pPr>
            <w:r w:rsidRPr="009D5D7E">
              <w:rPr>
                <w:sz w:val="22"/>
                <w:szCs w:val="22"/>
              </w:rPr>
              <w:t>Active ingredients</w:t>
            </w:r>
          </w:p>
        </w:tc>
        <w:tc>
          <w:tcPr>
            <w:tcW w:w="0" w:type="auto"/>
            <w:tcBorders>
              <w:top w:val="nil"/>
              <w:left w:val="single" w:sz="6" w:space="0" w:color="EFF1F3"/>
              <w:bottom w:val="single" w:sz="6" w:space="0" w:color="EFF1F3"/>
              <w:right w:val="single" w:sz="6" w:space="0" w:color="EFF1F3"/>
            </w:tcBorders>
            <w:shd w:val="clear" w:color="auto" w:fill="FFFFFF" w:themeFill="background1"/>
            <w:tcMar>
              <w:top w:w="90" w:type="dxa"/>
              <w:left w:w="90" w:type="dxa"/>
              <w:bottom w:w="90" w:type="dxa"/>
              <w:right w:w="90" w:type="dxa"/>
            </w:tcMar>
            <w:vAlign w:val="bottom"/>
            <w:hideMark/>
          </w:tcPr>
          <w:p w14:paraId="4A7A26C6" w14:textId="77777777" w:rsidR="0018098F" w:rsidRPr="009D5D7E" w:rsidRDefault="0018098F" w:rsidP="00966B09">
            <w:pPr>
              <w:rPr>
                <w:sz w:val="22"/>
                <w:szCs w:val="22"/>
              </w:rPr>
            </w:pPr>
            <w:r w:rsidRPr="009D5D7E">
              <w:rPr>
                <w:sz w:val="22"/>
                <w:szCs w:val="22"/>
              </w:rPr>
              <w:t>Size</w:t>
            </w:r>
          </w:p>
        </w:tc>
        <w:tc>
          <w:tcPr>
            <w:tcW w:w="0" w:type="auto"/>
            <w:tcBorders>
              <w:top w:val="nil"/>
              <w:left w:val="single" w:sz="6" w:space="0" w:color="EFF1F3"/>
              <w:bottom w:val="single" w:sz="6" w:space="0" w:color="EFF1F3"/>
              <w:right w:val="single" w:sz="6" w:space="0" w:color="EFF1F3"/>
            </w:tcBorders>
            <w:shd w:val="clear" w:color="auto" w:fill="FFFFFF" w:themeFill="background1"/>
            <w:tcMar>
              <w:top w:w="90" w:type="dxa"/>
              <w:left w:w="90" w:type="dxa"/>
              <w:bottom w:w="90" w:type="dxa"/>
              <w:right w:w="90" w:type="dxa"/>
            </w:tcMar>
            <w:vAlign w:val="bottom"/>
            <w:hideMark/>
          </w:tcPr>
          <w:p w14:paraId="4B2E69DF" w14:textId="77777777" w:rsidR="0018098F" w:rsidRPr="009D5D7E" w:rsidRDefault="0018098F" w:rsidP="00966B09">
            <w:pPr>
              <w:rPr>
                <w:sz w:val="22"/>
                <w:szCs w:val="22"/>
              </w:rPr>
            </w:pPr>
            <w:r w:rsidRPr="009D5D7E">
              <w:rPr>
                <w:sz w:val="22"/>
                <w:szCs w:val="22"/>
              </w:rPr>
              <w:t>Unit</w:t>
            </w:r>
          </w:p>
        </w:tc>
        <w:tc>
          <w:tcPr>
            <w:tcW w:w="0" w:type="auto"/>
            <w:tcBorders>
              <w:top w:val="nil"/>
              <w:left w:val="single" w:sz="6" w:space="0" w:color="EFF1F3"/>
              <w:bottom w:val="single" w:sz="6" w:space="0" w:color="EFF1F3"/>
              <w:right w:val="single" w:sz="6" w:space="0" w:color="EFF1F3"/>
            </w:tcBorders>
            <w:shd w:val="clear" w:color="auto" w:fill="FFFFFF" w:themeFill="background1"/>
            <w:tcMar>
              <w:top w:w="90" w:type="dxa"/>
              <w:left w:w="90" w:type="dxa"/>
              <w:bottom w:w="90" w:type="dxa"/>
              <w:right w:w="90" w:type="dxa"/>
            </w:tcMar>
            <w:vAlign w:val="bottom"/>
            <w:hideMark/>
          </w:tcPr>
          <w:p w14:paraId="4EA07816" w14:textId="77777777" w:rsidR="0018098F" w:rsidRPr="009D5D7E" w:rsidRDefault="0018098F" w:rsidP="00966B09">
            <w:pPr>
              <w:rPr>
                <w:sz w:val="22"/>
                <w:szCs w:val="22"/>
              </w:rPr>
            </w:pPr>
            <w:r w:rsidRPr="009D5D7E">
              <w:rPr>
                <w:sz w:val="22"/>
                <w:szCs w:val="22"/>
              </w:rPr>
              <w:t>NHS indicative price</w:t>
            </w:r>
          </w:p>
        </w:tc>
      </w:tr>
      <w:tr w:rsidR="0018098F" w:rsidRPr="009D5D7E" w14:paraId="42736C16" w14:textId="77777777" w:rsidTr="05C95E3E">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13D63244" w14:textId="77777777" w:rsidR="0018098F" w:rsidRPr="009D5D7E" w:rsidRDefault="0018098F" w:rsidP="00966B09">
            <w:pPr>
              <w:rPr>
                <w:sz w:val="22"/>
                <w:szCs w:val="22"/>
              </w:rPr>
            </w:pPr>
            <w:proofErr w:type="spellStart"/>
            <w:r w:rsidRPr="009D5D7E">
              <w:rPr>
                <w:rStyle w:val="strengthofactiveingredient"/>
                <w:rFonts w:ascii="Lato" w:hAnsi="Lato"/>
                <w:color w:val="0E0E0E"/>
                <w:sz w:val="22"/>
                <w:szCs w:val="22"/>
              </w:rPr>
              <w:t>Colecalciferol</w:t>
            </w:r>
            <w:proofErr w:type="spellEnd"/>
            <w:r w:rsidRPr="009D5D7E">
              <w:rPr>
                <w:rStyle w:val="strengthofactiveingredient"/>
                <w:rFonts w:ascii="Lato" w:hAnsi="Lato"/>
                <w:color w:val="0E0E0E"/>
                <w:sz w:val="22"/>
                <w:szCs w:val="22"/>
              </w:rPr>
              <w:t xml:space="preserve"> 400</w:t>
            </w:r>
            <w:r w:rsidRPr="009D5D7E">
              <w:rPr>
                <w:rStyle w:val="strengthofactiveingredient"/>
                <w:rFonts w:cs="Arial"/>
                <w:color w:val="0E0E0E"/>
                <w:sz w:val="22"/>
                <w:szCs w:val="22"/>
              </w:rPr>
              <w:t> </w:t>
            </w:r>
            <w:r w:rsidRPr="009D5D7E">
              <w:rPr>
                <w:rStyle w:val="strengthofactiveingredient"/>
                <w:rFonts w:ascii="Lato" w:hAnsi="Lato"/>
                <w:color w:val="0E0E0E"/>
                <w:sz w:val="22"/>
                <w:szCs w:val="22"/>
              </w:rPr>
              <w:t>unit</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1B532376" w14:textId="77777777" w:rsidR="0018098F" w:rsidRPr="009D5D7E" w:rsidRDefault="0018098F" w:rsidP="00966B09">
            <w:pPr>
              <w:rPr>
                <w:sz w:val="22"/>
                <w:szCs w:val="22"/>
              </w:rPr>
            </w:pPr>
            <w:r w:rsidRPr="009D5D7E">
              <w:rPr>
                <w:sz w:val="22"/>
                <w:szCs w:val="22"/>
              </w:rPr>
              <w:t>28</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5F8427A7" w14:textId="77777777" w:rsidR="0018098F" w:rsidRPr="009D5D7E" w:rsidRDefault="0018098F" w:rsidP="00966B09">
            <w:pPr>
              <w:rPr>
                <w:sz w:val="22"/>
                <w:szCs w:val="22"/>
              </w:rPr>
            </w:pPr>
            <w:r w:rsidRPr="009D5D7E">
              <w:rPr>
                <w:sz w:val="22"/>
                <w:szCs w:val="22"/>
              </w:rPr>
              <w:t>tablet</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6BF21DF0" w14:textId="4CD9CC62" w:rsidR="0018098F" w:rsidRPr="009D5D7E" w:rsidRDefault="668DD0B0" w:rsidP="00966B09">
            <w:pPr>
              <w:rPr>
                <w:sz w:val="22"/>
                <w:szCs w:val="22"/>
              </w:rPr>
            </w:pPr>
            <w:r w:rsidRPr="05C95E3E">
              <w:rPr>
                <w:sz w:val="22"/>
                <w:szCs w:val="22"/>
              </w:rPr>
              <w:t>£2</w:t>
            </w:r>
            <w:r w:rsidR="52066619" w:rsidRPr="05C95E3E">
              <w:rPr>
                <w:sz w:val="22"/>
                <w:szCs w:val="22"/>
              </w:rPr>
              <w:t>.89</w:t>
            </w:r>
          </w:p>
        </w:tc>
      </w:tr>
    </w:tbl>
    <w:p w14:paraId="4A601705" w14:textId="48715236" w:rsidR="0018098F" w:rsidRDefault="0018098F" w:rsidP="0018098F">
      <w:pPr>
        <w:rPr>
          <w:rFonts w:cs="Arial"/>
          <w:b/>
          <w:bCs/>
          <w:sz w:val="22"/>
          <w:szCs w:val="22"/>
        </w:rPr>
      </w:pPr>
    </w:p>
    <w:p w14:paraId="3E6BB23E" w14:textId="77777777" w:rsidR="005268E7" w:rsidRPr="009D5D7E" w:rsidRDefault="005268E7" w:rsidP="0018098F">
      <w:pPr>
        <w:rPr>
          <w:rFonts w:cs="Arial"/>
          <w:b/>
          <w:bCs/>
          <w:sz w:val="22"/>
          <w:szCs w:val="22"/>
        </w:rPr>
      </w:pPr>
    </w:p>
    <w:p w14:paraId="635FF69A" w14:textId="77777777" w:rsidR="0018098F" w:rsidRPr="009D5D7E" w:rsidRDefault="0018098F" w:rsidP="0018098F">
      <w:pPr>
        <w:rPr>
          <w:rFonts w:cs="Arial"/>
          <w:b/>
          <w:bCs/>
          <w:sz w:val="22"/>
          <w:szCs w:val="22"/>
        </w:rPr>
      </w:pPr>
      <w:proofErr w:type="spellStart"/>
      <w:r w:rsidRPr="009D5D7E">
        <w:rPr>
          <w:rFonts w:cs="Arial"/>
          <w:b/>
          <w:bCs/>
          <w:sz w:val="22"/>
          <w:szCs w:val="22"/>
        </w:rPr>
        <w:t>ColeDose</w:t>
      </w:r>
      <w:proofErr w:type="spellEnd"/>
      <w:r w:rsidRPr="009D5D7E">
        <w:rPr>
          <w:rFonts w:cs="Arial"/>
          <w:b/>
          <w:bCs/>
          <w:sz w:val="22"/>
          <w:szCs w:val="22"/>
        </w:rPr>
        <w:t xml:space="preserve"> D3 400unit tablets (</w:t>
      </w:r>
      <w:proofErr w:type="spellStart"/>
      <w:r w:rsidRPr="009D5D7E">
        <w:rPr>
          <w:rStyle w:val="manufacturer"/>
          <w:rFonts w:eastAsiaTheme="majorEastAsia" w:cs="Arial"/>
          <w:b/>
          <w:bCs/>
          <w:color w:val="0E0E0E"/>
          <w:sz w:val="22"/>
          <w:szCs w:val="22"/>
        </w:rPr>
        <w:t>TriOn</w:t>
      </w:r>
      <w:proofErr w:type="spellEnd"/>
      <w:r w:rsidRPr="009D5D7E">
        <w:rPr>
          <w:rStyle w:val="manufacturer"/>
          <w:rFonts w:eastAsiaTheme="majorEastAsia" w:cs="Arial"/>
          <w:b/>
          <w:bCs/>
          <w:color w:val="0E0E0E"/>
          <w:sz w:val="22"/>
          <w:szCs w:val="22"/>
        </w:rPr>
        <w:t xml:space="preserve"> Pharma Ltd</w:t>
      </w:r>
      <w:r w:rsidRPr="009D5D7E">
        <w:rPr>
          <w:rFonts w:cs="Arial"/>
          <w:b/>
          <w:bCs/>
          <w:sz w:val="22"/>
          <w:szCs w:val="22"/>
        </w:rPr>
        <w:t>)</w:t>
      </w:r>
    </w:p>
    <w:tbl>
      <w:tblPr>
        <w:tblW w:w="7376" w:type="dxa"/>
        <w:tblBorders>
          <w:top w:val="single" w:sz="6" w:space="0" w:color="EFF1F3"/>
          <w:left w:val="single" w:sz="6" w:space="0" w:color="EFF1F3"/>
          <w:bottom w:val="single" w:sz="6" w:space="0" w:color="EFF1F3"/>
          <w:right w:val="single" w:sz="6" w:space="0" w:color="EFF1F3"/>
        </w:tblBorders>
        <w:tblCellMar>
          <w:top w:w="15" w:type="dxa"/>
          <w:left w:w="15" w:type="dxa"/>
          <w:bottom w:w="15" w:type="dxa"/>
          <w:right w:w="15" w:type="dxa"/>
        </w:tblCellMar>
        <w:tblLook w:val="04A0" w:firstRow="1" w:lastRow="0" w:firstColumn="1" w:lastColumn="0" w:noHBand="0" w:noVBand="1"/>
      </w:tblPr>
      <w:tblGrid>
        <w:gridCol w:w="2952"/>
        <w:gridCol w:w="771"/>
        <w:gridCol w:w="912"/>
        <w:gridCol w:w="2741"/>
      </w:tblGrid>
      <w:tr w:rsidR="0018098F" w:rsidRPr="009D5D7E" w14:paraId="0FB609FF" w14:textId="77777777" w:rsidTr="00966B09">
        <w:trPr>
          <w:tblHeader/>
        </w:trPr>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73845F56" w14:textId="77777777" w:rsidR="0018098F" w:rsidRPr="009D5D7E" w:rsidRDefault="0018098F" w:rsidP="00966B09">
            <w:pPr>
              <w:rPr>
                <w:rFonts w:ascii="Times New Roman" w:hAnsi="Times New Roman"/>
                <w:sz w:val="22"/>
                <w:szCs w:val="22"/>
              </w:rPr>
            </w:pPr>
            <w:r w:rsidRPr="009D5D7E">
              <w:rPr>
                <w:sz w:val="22"/>
                <w:szCs w:val="22"/>
              </w:rPr>
              <w:t>Active ingredients</w:t>
            </w:r>
          </w:p>
        </w:tc>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384A6DF0" w14:textId="77777777" w:rsidR="0018098F" w:rsidRPr="009D5D7E" w:rsidRDefault="0018098F" w:rsidP="00966B09">
            <w:pPr>
              <w:rPr>
                <w:sz w:val="22"/>
                <w:szCs w:val="22"/>
              </w:rPr>
            </w:pPr>
            <w:r w:rsidRPr="009D5D7E">
              <w:rPr>
                <w:sz w:val="22"/>
                <w:szCs w:val="22"/>
              </w:rPr>
              <w:t>Size</w:t>
            </w:r>
          </w:p>
        </w:tc>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1A68683B" w14:textId="77777777" w:rsidR="0018098F" w:rsidRPr="009D5D7E" w:rsidRDefault="0018098F" w:rsidP="00966B09">
            <w:pPr>
              <w:rPr>
                <w:sz w:val="22"/>
                <w:szCs w:val="22"/>
              </w:rPr>
            </w:pPr>
            <w:r w:rsidRPr="009D5D7E">
              <w:rPr>
                <w:sz w:val="22"/>
                <w:szCs w:val="22"/>
              </w:rPr>
              <w:t>Unit</w:t>
            </w:r>
          </w:p>
        </w:tc>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32736352" w14:textId="77777777" w:rsidR="0018098F" w:rsidRPr="009D5D7E" w:rsidRDefault="0018098F" w:rsidP="00966B09">
            <w:pPr>
              <w:rPr>
                <w:sz w:val="22"/>
                <w:szCs w:val="22"/>
              </w:rPr>
            </w:pPr>
            <w:r w:rsidRPr="009D5D7E">
              <w:rPr>
                <w:sz w:val="22"/>
                <w:szCs w:val="22"/>
              </w:rPr>
              <w:t>NHS indicative price</w:t>
            </w:r>
          </w:p>
        </w:tc>
      </w:tr>
      <w:tr w:rsidR="0018098F" w:rsidRPr="009D5D7E" w14:paraId="56469291" w14:textId="77777777" w:rsidTr="00966B09">
        <w:tc>
          <w:tcPr>
            <w:tcW w:w="0" w:type="auto"/>
            <w:tcBorders>
              <w:top w:val="single" w:sz="6" w:space="0" w:color="EFF1F3"/>
              <w:left w:val="single" w:sz="6" w:space="0" w:color="EFF1F3"/>
              <w:bottom w:val="single" w:sz="6" w:space="0" w:color="EFF1F3"/>
              <w:right w:val="single" w:sz="6" w:space="0" w:color="EFF1F3"/>
            </w:tcBorders>
            <w:shd w:val="clear" w:color="auto" w:fill="FAFAFB"/>
            <w:tcMar>
              <w:top w:w="90" w:type="dxa"/>
              <w:left w:w="90" w:type="dxa"/>
              <w:bottom w:w="90" w:type="dxa"/>
              <w:right w:w="90" w:type="dxa"/>
            </w:tcMar>
            <w:hideMark/>
          </w:tcPr>
          <w:p w14:paraId="55AA40DF" w14:textId="77777777" w:rsidR="0018098F" w:rsidRPr="009D5D7E" w:rsidRDefault="0018098F" w:rsidP="00966B09">
            <w:pPr>
              <w:rPr>
                <w:sz w:val="22"/>
                <w:szCs w:val="22"/>
              </w:rPr>
            </w:pPr>
            <w:proofErr w:type="spellStart"/>
            <w:r w:rsidRPr="009D5D7E">
              <w:rPr>
                <w:rStyle w:val="strengthofactiveingredient"/>
                <w:sz w:val="22"/>
                <w:szCs w:val="22"/>
              </w:rPr>
              <w:t>Colecalciferol</w:t>
            </w:r>
            <w:proofErr w:type="spellEnd"/>
            <w:r w:rsidRPr="009D5D7E">
              <w:rPr>
                <w:rStyle w:val="strengthofactiveingredient"/>
                <w:sz w:val="22"/>
                <w:szCs w:val="22"/>
              </w:rPr>
              <w:t xml:space="preserve"> 400 unit</w:t>
            </w:r>
          </w:p>
        </w:tc>
        <w:tc>
          <w:tcPr>
            <w:tcW w:w="0" w:type="auto"/>
            <w:tcBorders>
              <w:top w:val="single" w:sz="6" w:space="0" w:color="EFF1F3"/>
              <w:left w:val="single" w:sz="6" w:space="0" w:color="EFF1F3"/>
              <w:bottom w:val="single" w:sz="6" w:space="0" w:color="EFF1F3"/>
              <w:right w:val="single" w:sz="6" w:space="0" w:color="EFF1F3"/>
            </w:tcBorders>
            <w:shd w:val="clear" w:color="auto" w:fill="FAFAFB"/>
            <w:tcMar>
              <w:top w:w="90" w:type="dxa"/>
              <w:left w:w="90" w:type="dxa"/>
              <w:bottom w:w="90" w:type="dxa"/>
              <w:right w:w="90" w:type="dxa"/>
            </w:tcMar>
            <w:hideMark/>
          </w:tcPr>
          <w:p w14:paraId="7F877E8E" w14:textId="77777777" w:rsidR="0018098F" w:rsidRPr="009D5D7E" w:rsidRDefault="0018098F" w:rsidP="00966B09">
            <w:pPr>
              <w:rPr>
                <w:sz w:val="22"/>
                <w:szCs w:val="22"/>
              </w:rPr>
            </w:pPr>
            <w:r w:rsidRPr="009D5D7E">
              <w:rPr>
                <w:sz w:val="22"/>
                <w:szCs w:val="22"/>
              </w:rPr>
              <w:t>30</w:t>
            </w:r>
          </w:p>
        </w:tc>
        <w:tc>
          <w:tcPr>
            <w:tcW w:w="0" w:type="auto"/>
            <w:tcBorders>
              <w:top w:val="single" w:sz="6" w:space="0" w:color="EFF1F3"/>
              <w:left w:val="single" w:sz="6" w:space="0" w:color="EFF1F3"/>
              <w:bottom w:val="single" w:sz="6" w:space="0" w:color="EFF1F3"/>
              <w:right w:val="single" w:sz="6" w:space="0" w:color="EFF1F3"/>
            </w:tcBorders>
            <w:shd w:val="clear" w:color="auto" w:fill="FAFAFB"/>
            <w:tcMar>
              <w:top w:w="90" w:type="dxa"/>
              <w:left w:w="90" w:type="dxa"/>
              <w:bottom w:w="90" w:type="dxa"/>
              <w:right w:w="90" w:type="dxa"/>
            </w:tcMar>
            <w:hideMark/>
          </w:tcPr>
          <w:p w14:paraId="0C0EFBBC" w14:textId="77777777" w:rsidR="0018098F" w:rsidRPr="009D5D7E" w:rsidRDefault="0018098F" w:rsidP="00966B09">
            <w:pPr>
              <w:rPr>
                <w:sz w:val="22"/>
                <w:szCs w:val="22"/>
              </w:rPr>
            </w:pPr>
            <w:r w:rsidRPr="009D5D7E">
              <w:rPr>
                <w:sz w:val="22"/>
                <w:szCs w:val="22"/>
              </w:rPr>
              <w:t>tablet</w:t>
            </w:r>
          </w:p>
        </w:tc>
        <w:tc>
          <w:tcPr>
            <w:tcW w:w="0" w:type="auto"/>
            <w:tcBorders>
              <w:top w:val="single" w:sz="6" w:space="0" w:color="EFF1F3"/>
              <w:left w:val="single" w:sz="6" w:space="0" w:color="EFF1F3"/>
              <w:bottom w:val="single" w:sz="6" w:space="0" w:color="EFF1F3"/>
              <w:right w:val="single" w:sz="6" w:space="0" w:color="EFF1F3"/>
            </w:tcBorders>
            <w:shd w:val="clear" w:color="auto" w:fill="FAFAFB"/>
            <w:tcMar>
              <w:top w:w="90" w:type="dxa"/>
              <w:left w:w="90" w:type="dxa"/>
              <w:bottom w:w="90" w:type="dxa"/>
              <w:right w:w="90" w:type="dxa"/>
            </w:tcMar>
            <w:hideMark/>
          </w:tcPr>
          <w:p w14:paraId="35DC0F5F" w14:textId="77777777" w:rsidR="0018098F" w:rsidRPr="009D5D7E" w:rsidRDefault="0018098F" w:rsidP="00966B09">
            <w:pPr>
              <w:rPr>
                <w:sz w:val="22"/>
                <w:szCs w:val="22"/>
              </w:rPr>
            </w:pPr>
            <w:r w:rsidRPr="009D5D7E">
              <w:rPr>
                <w:sz w:val="22"/>
                <w:szCs w:val="22"/>
              </w:rPr>
              <w:t>£2.23</w:t>
            </w:r>
          </w:p>
        </w:tc>
      </w:tr>
    </w:tbl>
    <w:p w14:paraId="6C71A375" w14:textId="77777777" w:rsidR="0018098F" w:rsidRPr="009D5D7E" w:rsidRDefault="0018098F" w:rsidP="0018098F">
      <w:pPr>
        <w:rPr>
          <w:rFonts w:cs="Arial"/>
          <w:b/>
          <w:bCs/>
          <w:sz w:val="22"/>
          <w:szCs w:val="22"/>
        </w:rPr>
      </w:pPr>
    </w:p>
    <w:p w14:paraId="5E98B717" w14:textId="77777777" w:rsidR="0018098F" w:rsidRPr="009D5D7E" w:rsidRDefault="0018098F" w:rsidP="0018098F">
      <w:pPr>
        <w:rPr>
          <w:rFonts w:cs="Arial"/>
          <w:b/>
          <w:bCs/>
          <w:sz w:val="22"/>
          <w:szCs w:val="22"/>
        </w:rPr>
      </w:pPr>
    </w:p>
    <w:p w14:paraId="23B4C34D" w14:textId="77777777" w:rsidR="0018098F" w:rsidRPr="009D5D7E" w:rsidRDefault="0018098F" w:rsidP="0018098F">
      <w:pPr>
        <w:rPr>
          <w:rFonts w:cs="Arial"/>
          <w:b/>
          <w:bCs/>
          <w:sz w:val="22"/>
          <w:szCs w:val="22"/>
        </w:rPr>
      </w:pPr>
      <w:r w:rsidRPr="009D5D7E">
        <w:rPr>
          <w:rFonts w:cs="Arial"/>
          <w:b/>
          <w:bCs/>
          <w:sz w:val="22"/>
          <w:szCs w:val="22"/>
        </w:rPr>
        <w:t>ColeKal-D3 400unit tablets (</w:t>
      </w:r>
      <w:r w:rsidRPr="009D5D7E">
        <w:rPr>
          <w:rStyle w:val="manufacturer"/>
          <w:rFonts w:eastAsiaTheme="majorEastAsia" w:cs="Arial"/>
          <w:b/>
          <w:bCs/>
          <w:color w:val="0E0E0E"/>
          <w:sz w:val="22"/>
          <w:szCs w:val="22"/>
        </w:rPr>
        <w:t>Essential-Healthcare Ltd</w:t>
      </w:r>
      <w:r w:rsidRPr="009D5D7E">
        <w:rPr>
          <w:rFonts w:cs="Arial"/>
          <w:b/>
          <w:bCs/>
          <w:sz w:val="22"/>
          <w:szCs w:val="22"/>
        </w:rPr>
        <w:t>)</w:t>
      </w:r>
    </w:p>
    <w:tbl>
      <w:tblPr>
        <w:tblW w:w="7376" w:type="dxa"/>
        <w:tblBorders>
          <w:top w:val="single" w:sz="6" w:space="0" w:color="EFF1F3"/>
          <w:left w:val="single" w:sz="6" w:space="0" w:color="EFF1F3"/>
          <w:bottom w:val="single" w:sz="6" w:space="0" w:color="EFF1F3"/>
          <w:right w:val="single" w:sz="6" w:space="0" w:color="EFF1F3"/>
        </w:tblBorders>
        <w:tblCellMar>
          <w:top w:w="15" w:type="dxa"/>
          <w:left w:w="15" w:type="dxa"/>
          <w:bottom w:w="15" w:type="dxa"/>
          <w:right w:w="15" w:type="dxa"/>
        </w:tblCellMar>
        <w:tblLook w:val="04A0" w:firstRow="1" w:lastRow="0" w:firstColumn="1" w:lastColumn="0" w:noHBand="0" w:noVBand="1"/>
      </w:tblPr>
      <w:tblGrid>
        <w:gridCol w:w="2952"/>
        <w:gridCol w:w="771"/>
        <w:gridCol w:w="912"/>
        <w:gridCol w:w="2741"/>
      </w:tblGrid>
      <w:tr w:rsidR="0018098F" w:rsidRPr="009D5D7E" w14:paraId="0F377F29" w14:textId="77777777" w:rsidTr="05C95E3E">
        <w:trPr>
          <w:tblHeader/>
        </w:trPr>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68B5218F" w14:textId="77777777" w:rsidR="0018098F" w:rsidRPr="009D5D7E" w:rsidRDefault="0018098F" w:rsidP="00966B09">
            <w:pPr>
              <w:rPr>
                <w:rFonts w:ascii="Times New Roman" w:hAnsi="Times New Roman"/>
                <w:sz w:val="22"/>
                <w:szCs w:val="22"/>
              </w:rPr>
            </w:pPr>
            <w:r w:rsidRPr="009D5D7E">
              <w:rPr>
                <w:sz w:val="22"/>
                <w:szCs w:val="22"/>
              </w:rPr>
              <w:t>Active ingredients</w:t>
            </w:r>
          </w:p>
        </w:tc>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07D55AD2" w14:textId="77777777" w:rsidR="0018098F" w:rsidRPr="009D5D7E" w:rsidRDefault="0018098F" w:rsidP="00966B09">
            <w:pPr>
              <w:rPr>
                <w:sz w:val="22"/>
                <w:szCs w:val="22"/>
              </w:rPr>
            </w:pPr>
            <w:r w:rsidRPr="009D5D7E">
              <w:rPr>
                <w:sz w:val="22"/>
                <w:szCs w:val="22"/>
              </w:rPr>
              <w:t>Size</w:t>
            </w:r>
          </w:p>
        </w:tc>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1F09E509" w14:textId="77777777" w:rsidR="0018098F" w:rsidRPr="009D5D7E" w:rsidRDefault="0018098F" w:rsidP="00966B09">
            <w:pPr>
              <w:rPr>
                <w:sz w:val="22"/>
                <w:szCs w:val="22"/>
              </w:rPr>
            </w:pPr>
            <w:r w:rsidRPr="009D5D7E">
              <w:rPr>
                <w:sz w:val="22"/>
                <w:szCs w:val="22"/>
              </w:rPr>
              <w:t>Unit</w:t>
            </w:r>
          </w:p>
        </w:tc>
        <w:tc>
          <w:tcPr>
            <w:tcW w:w="0" w:type="auto"/>
            <w:tcBorders>
              <w:top w:val="nil"/>
              <w:left w:val="single" w:sz="6" w:space="0" w:color="EFF1F3"/>
              <w:bottom w:val="single" w:sz="6" w:space="0" w:color="EFF1F3"/>
              <w:right w:val="single" w:sz="6" w:space="0" w:color="EFF1F3"/>
            </w:tcBorders>
            <w:shd w:val="clear" w:color="auto" w:fill="auto"/>
            <w:tcMar>
              <w:top w:w="90" w:type="dxa"/>
              <w:left w:w="90" w:type="dxa"/>
              <w:bottom w:w="90" w:type="dxa"/>
              <w:right w:w="90" w:type="dxa"/>
            </w:tcMar>
            <w:vAlign w:val="bottom"/>
            <w:hideMark/>
          </w:tcPr>
          <w:p w14:paraId="59A44D54" w14:textId="77777777" w:rsidR="0018098F" w:rsidRPr="009D5D7E" w:rsidRDefault="0018098F" w:rsidP="00966B09">
            <w:pPr>
              <w:rPr>
                <w:sz w:val="22"/>
                <w:szCs w:val="22"/>
              </w:rPr>
            </w:pPr>
            <w:r w:rsidRPr="009D5D7E">
              <w:rPr>
                <w:sz w:val="22"/>
                <w:szCs w:val="22"/>
              </w:rPr>
              <w:t>NHS indicative price</w:t>
            </w:r>
          </w:p>
        </w:tc>
      </w:tr>
      <w:tr w:rsidR="0018098F" w:rsidRPr="009D5D7E" w14:paraId="28223FE6" w14:textId="77777777" w:rsidTr="05C95E3E">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5F161418" w14:textId="77777777" w:rsidR="0018098F" w:rsidRPr="009D5D7E" w:rsidRDefault="0018098F" w:rsidP="00966B09">
            <w:pPr>
              <w:rPr>
                <w:sz w:val="22"/>
                <w:szCs w:val="22"/>
              </w:rPr>
            </w:pPr>
            <w:proofErr w:type="spellStart"/>
            <w:r w:rsidRPr="009D5D7E">
              <w:rPr>
                <w:rStyle w:val="strengthofactiveingredient"/>
                <w:sz w:val="22"/>
                <w:szCs w:val="22"/>
              </w:rPr>
              <w:t>Colecalciferol</w:t>
            </w:r>
            <w:proofErr w:type="spellEnd"/>
            <w:r w:rsidRPr="009D5D7E">
              <w:rPr>
                <w:rStyle w:val="strengthofactiveingredient"/>
                <w:sz w:val="22"/>
                <w:szCs w:val="22"/>
              </w:rPr>
              <w:t xml:space="preserve"> 400 unit</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6D0DD281" w14:textId="77777777" w:rsidR="0018098F" w:rsidRPr="009D5D7E" w:rsidRDefault="0018098F" w:rsidP="00966B09">
            <w:pPr>
              <w:rPr>
                <w:sz w:val="22"/>
                <w:szCs w:val="22"/>
              </w:rPr>
            </w:pPr>
            <w:r w:rsidRPr="009D5D7E">
              <w:rPr>
                <w:sz w:val="22"/>
                <w:szCs w:val="22"/>
              </w:rPr>
              <w:t>30</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46518D62" w14:textId="77777777" w:rsidR="0018098F" w:rsidRPr="009D5D7E" w:rsidRDefault="0018098F" w:rsidP="00966B09">
            <w:pPr>
              <w:rPr>
                <w:sz w:val="22"/>
                <w:szCs w:val="22"/>
              </w:rPr>
            </w:pPr>
            <w:r w:rsidRPr="009D5D7E">
              <w:rPr>
                <w:sz w:val="22"/>
                <w:szCs w:val="22"/>
              </w:rPr>
              <w:t>tablet</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41A9BF72" w14:textId="257C1B5A" w:rsidR="0018098F" w:rsidRPr="009D5D7E" w:rsidRDefault="668DD0B0" w:rsidP="00966B09">
            <w:pPr>
              <w:rPr>
                <w:sz w:val="22"/>
                <w:szCs w:val="22"/>
              </w:rPr>
            </w:pPr>
            <w:r w:rsidRPr="05C95E3E">
              <w:rPr>
                <w:sz w:val="22"/>
                <w:szCs w:val="22"/>
              </w:rPr>
              <w:t>£2.2</w:t>
            </w:r>
            <w:r w:rsidR="6A0068A3" w:rsidRPr="05C95E3E">
              <w:rPr>
                <w:sz w:val="22"/>
                <w:szCs w:val="22"/>
              </w:rPr>
              <w:t>3</w:t>
            </w:r>
          </w:p>
        </w:tc>
      </w:tr>
    </w:tbl>
    <w:p w14:paraId="44FA18F8" w14:textId="77777777" w:rsidR="0018098F" w:rsidRPr="009D5D7E" w:rsidRDefault="0018098F" w:rsidP="0018098F">
      <w:pPr>
        <w:rPr>
          <w:b/>
          <w:bCs/>
          <w:sz w:val="22"/>
          <w:szCs w:val="22"/>
        </w:rPr>
      </w:pPr>
    </w:p>
    <w:p w14:paraId="499CC7B2" w14:textId="77777777" w:rsidR="0018098F" w:rsidRPr="009D5D7E" w:rsidRDefault="0018098F" w:rsidP="0018098F">
      <w:pPr>
        <w:rPr>
          <w:b/>
          <w:bCs/>
          <w:sz w:val="22"/>
          <w:szCs w:val="22"/>
        </w:rPr>
      </w:pPr>
    </w:p>
    <w:p w14:paraId="1EA5DD32" w14:textId="77777777" w:rsidR="0018098F" w:rsidRPr="009D5D7E" w:rsidRDefault="0018098F" w:rsidP="0018098F">
      <w:pPr>
        <w:rPr>
          <w:b/>
          <w:bCs/>
          <w:sz w:val="22"/>
          <w:szCs w:val="22"/>
        </w:rPr>
      </w:pPr>
      <w:proofErr w:type="spellStart"/>
      <w:r w:rsidRPr="009D5D7E">
        <w:rPr>
          <w:b/>
          <w:bCs/>
          <w:sz w:val="22"/>
          <w:szCs w:val="22"/>
        </w:rPr>
        <w:t>Cubicole</w:t>
      </w:r>
      <w:proofErr w:type="spellEnd"/>
      <w:r w:rsidRPr="009D5D7E">
        <w:rPr>
          <w:b/>
          <w:bCs/>
          <w:sz w:val="22"/>
          <w:szCs w:val="22"/>
        </w:rPr>
        <w:t xml:space="preserve"> D3 400unit tablets (</w:t>
      </w:r>
      <w:r w:rsidRPr="009D5D7E">
        <w:rPr>
          <w:rStyle w:val="manufacturer"/>
          <w:rFonts w:ascii="Lato" w:eastAsiaTheme="majorEastAsia" w:hAnsi="Lato"/>
          <w:b/>
          <w:bCs/>
          <w:color w:val="0E0E0E"/>
          <w:sz w:val="22"/>
          <w:szCs w:val="22"/>
        </w:rPr>
        <w:t>Cubic Pharmaceuticals Ltd</w:t>
      </w:r>
      <w:r w:rsidRPr="009D5D7E">
        <w:rPr>
          <w:b/>
          <w:bCs/>
          <w:sz w:val="22"/>
          <w:szCs w:val="22"/>
        </w:rPr>
        <w:t>)</w:t>
      </w:r>
    </w:p>
    <w:tbl>
      <w:tblPr>
        <w:tblW w:w="7377" w:type="dxa"/>
        <w:tblBorders>
          <w:top w:val="single" w:sz="6" w:space="0" w:color="EFF1F3"/>
          <w:left w:val="single" w:sz="6" w:space="0" w:color="EFF1F3"/>
          <w:bottom w:val="single" w:sz="6" w:space="0" w:color="EFF1F3"/>
          <w:right w:val="single" w:sz="6" w:space="0" w:color="EFF1F3"/>
        </w:tblBorders>
        <w:shd w:val="clear" w:color="auto" w:fill="FFFFFF"/>
        <w:tblCellMar>
          <w:top w:w="15" w:type="dxa"/>
          <w:left w:w="15" w:type="dxa"/>
          <w:bottom w:w="15" w:type="dxa"/>
          <w:right w:w="15" w:type="dxa"/>
        </w:tblCellMar>
        <w:tblLook w:val="04A0" w:firstRow="1" w:lastRow="0" w:firstColumn="1" w:lastColumn="0" w:noHBand="0" w:noVBand="1"/>
      </w:tblPr>
      <w:tblGrid>
        <w:gridCol w:w="2894"/>
        <w:gridCol w:w="763"/>
        <w:gridCol w:w="884"/>
        <w:gridCol w:w="2836"/>
      </w:tblGrid>
      <w:tr w:rsidR="0018098F" w:rsidRPr="009D5D7E" w14:paraId="47B86AD6" w14:textId="77777777" w:rsidTr="00966B09">
        <w:trPr>
          <w:tblHeader/>
        </w:trPr>
        <w:tc>
          <w:tcPr>
            <w:tcW w:w="0" w:type="auto"/>
            <w:tcBorders>
              <w:top w:val="nil"/>
              <w:left w:val="single" w:sz="6" w:space="0" w:color="EFF1F3"/>
              <w:bottom w:val="single" w:sz="6" w:space="0" w:color="EFF1F3"/>
              <w:right w:val="single" w:sz="6" w:space="0" w:color="EFF1F3"/>
            </w:tcBorders>
            <w:shd w:val="clear" w:color="auto" w:fill="FFFFFF"/>
            <w:tcMar>
              <w:top w:w="90" w:type="dxa"/>
              <w:left w:w="90" w:type="dxa"/>
              <w:bottom w:w="90" w:type="dxa"/>
              <w:right w:w="90" w:type="dxa"/>
            </w:tcMar>
            <w:vAlign w:val="bottom"/>
            <w:hideMark/>
          </w:tcPr>
          <w:p w14:paraId="5C237F5C" w14:textId="77777777" w:rsidR="0018098F" w:rsidRPr="009D5D7E" w:rsidRDefault="0018098F" w:rsidP="00966B09">
            <w:pPr>
              <w:rPr>
                <w:b/>
                <w:bCs/>
                <w:sz w:val="22"/>
                <w:szCs w:val="22"/>
              </w:rPr>
            </w:pPr>
            <w:r w:rsidRPr="009D5D7E">
              <w:rPr>
                <w:b/>
                <w:bCs/>
                <w:sz w:val="22"/>
                <w:szCs w:val="22"/>
              </w:rPr>
              <w:t>Active ingredients</w:t>
            </w:r>
          </w:p>
        </w:tc>
        <w:tc>
          <w:tcPr>
            <w:tcW w:w="0" w:type="auto"/>
            <w:tcBorders>
              <w:top w:val="nil"/>
              <w:left w:val="single" w:sz="6" w:space="0" w:color="EFF1F3"/>
              <w:bottom w:val="single" w:sz="6" w:space="0" w:color="EFF1F3"/>
              <w:right w:val="single" w:sz="6" w:space="0" w:color="EFF1F3"/>
            </w:tcBorders>
            <w:shd w:val="clear" w:color="auto" w:fill="FFFFFF"/>
            <w:tcMar>
              <w:top w:w="90" w:type="dxa"/>
              <w:left w:w="90" w:type="dxa"/>
              <w:bottom w:w="90" w:type="dxa"/>
              <w:right w:w="90" w:type="dxa"/>
            </w:tcMar>
            <w:vAlign w:val="bottom"/>
            <w:hideMark/>
          </w:tcPr>
          <w:p w14:paraId="58D9CF1A" w14:textId="77777777" w:rsidR="0018098F" w:rsidRPr="009D5D7E" w:rsidRDefault="0018098F" w:rsidP="00966B09">
            <w:pPr>
              <w:rPr>
                <w:b/>
                <w:bCs/>
                <w:sz w:val="22"/>
                <w:szCs w:val="22"/>
              </w:rPr>
            </w:pPr>
            <w:r w:rsidRPr="009D5D7E">
              <w:rPr>
                <w:b/>
                <w:bCs/>
                <w:sz w:val="22"/>
                <w:szCs w:val="22"/>
              </w:rPr>
              <w:t>Size</w:t>
            </w:r>
          </w:p>
        </w:tc>
        <w:tc>
          <w:tcPr>
            <w:tcW w:w="0" w:type="auto"/>
            <w:tcBorders>
              <w:top w:val="nil"/>
              <w:left w:val="single" w:sz="6" w:space="0" w:color="EFF1F3"/>
              <w:bottom w:val="single" w:sz="6" w:space="0" w:color="EFF1F3"/>
              <w:right w:val="single" w:sz="6" w:space="0" w:color="EFF1F3"/>
            </w:tcBorders>
            <w:shd w:val="clear" w:color="auto" w:fill="FFFFFF"/>
            <w:tcMar>
              <w:top w:w="90" w:type="dxa"/>
              <w:left w:w="90" w:type="dxa"/>
              <w:bottom w:w="90" w:type="dxa"/>
              <w:right w:w="90" w:type="dxa"/>
            </w:tcMar>
            <w:vAlign w:val="bottom"/>
            <w:hideMark/>
          </w:tcPr>
          <w:p w14:paraId="36EAFAC1" w14:textId="77777777" w:rsidR="0018098F" w:rsidRPr="009D5D7E" w:rsidRDefault="0018098F" w:rsidP="00966B09">
            <w:pPr>
              <w:rPr>
                <w:b/>
                <w:bCs/>
                <w:sz w:val="22"/>
                <w:szCs w:val="22"/>
              </w:rPr>
            </w:pPr>
            <w:r w:rsidRPr="009D5D7E">
              <w:rPr>
                <w:b/>
                <w:bCs/>
                <w:sz w:val="22"/>
                <w:szCs w:val="22"/>
              </w:rPr>
              <w:t>Unit</w:t>
            </w:r>
          </w:p>
        </w:tc>
        <w:tc>
          <w:tcPr>
            <w:tcW w:w="0" w:type="auto"/>
            <w:tcBorders>
              <w:top w:val="nil"/>
              <w:left w:val="single" w:sz="6" w:space="0" w:color="EFF1F3"/>
              <w:bottom w:val="single" w:sz="6" w:space="0" w:color="EFF1F3"/>
              <w:right w:val="single" w:sz="6" w:space="0" w:color="EFF1F3"/>
            </w:tcBorders>
            <w:shd w:val="clear" w:color="auto" w:fill="FFFFFF"/>
            <w:tcMar>
              <w:top w:w="90" w:type="dxa"/>
              <w:left w:w="90" w:type="dxa"/>
              <w:bottom w:w="90" w:type="dxa"/>
              <w:right w:w="90" w:type="dxa"/>
            </w:tcMar>
            <w:vAlign w:val="bottom"/>
            <w:hideMark/>
          </w:tcPr>
          <w:p w14:paraId="6FA27D93" w14:textId="77777777" w:rsidR="0018098F" w:rsidRPr="009D5D7E" w:rsidRDefault="0018098F" w:rsidP="00966B09">
            <w:pPr>
              <w:rPr>
                <w:b/>
                <w:bCs/>
                <w:sz w:val="22"/>
                <w:szCs w:val="22"/>
              </w:rPr>
            </w:pPr>
            <w:r w:rsidRPr="009D5D7E">
              <w:rPr>
                <w:b/>
                <w:bCs/>
                <w:sz w:val="22"/>
                <w:szCs w:val="22"/>
              </w:rPr>
              <w:t>NHS indicative price</w:t>
            </w:r>
          </w:p>
        </w:tc>
      </w:tr>
      <w:tr w:rsidR="0018098F" w:rsidRPr="009D5D7E" w14:paraId="60A79771" w14:textId="77777777" w:rsidTr="00966B09">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08E76618" w14:textId="77777777" w:rsidR="0018098F" w:rsidRPr="009D5D7E" w:rsidRDefault="0018098F" w:rsidP="00966B09">
            <w:pPr>
              <w:rPr>
                <w:sz w:val="22"/>
                <w:szCs w:val="22"/>
              </w:rPr>
            </w:pPr>
            <w:proofErr w:type="spellStart"/>
            <w:r w:rsidRPr="009D5D7E">
              <w:rPr>
                <w:rStyle w:val="strengthofactiveingredient"/>
                <w:rFonts w:ascii="Lato" w:hAnsi="Lato"/>
                <w:color w:val="0E0E0E"/>
                <w:sz w:val="22"/>
                <w:szCs w:val="22"/>
              </w:rPr>
              <w:t>Colecalciferol</w:t>
            </w:r>
            <w:proofErr w:type="spellEnd"/>
            <w:r w:rsidRPr="009D5D7E">
              <w:rPr>
                <w:rStyle w:val="strengthofactiveingredient"/>
                <w:rFonts w:ascii="Lato" w:hAnsi="Lato"/>
                <w:color w:val="0E0E0E"/>
                <w:sz w:val="22"/>
                <w:szCs w:val="22"/>
              </w:rPr>
              <w:t xml:space="preserve"> 400</w:t>
            </w:r>
            <w:r w:rsidRPr="009D5D7E">
              <w:rPr>
                <w:rStyle w:val="strengthofactiveingredient"/>
                <w:rFonts w:cs="Arial"/>
                <w:color w:val="0E0E0E"/>
                <w:sz w:val="22"/>
                <w:szCs w:val="22"/>
              </w:rPr>
              <w:t> </w:t>
            </w:r>
            <w:r w:rsidRPr="009D5D7E">
              <w:rPr>
                <w:rStyle w:val="strengthofactiveingredient"/>
                <w:rFonts w:ascii="Lato" w:hAnsi="Lato"/>
                <w:color w:val="0E0E0E"/>
                <w:sz w:val="22"/>
                <w:szCs w:val="22"/>
              </w:rPr>
              <w:t>unit</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30444BBC" w14:textId="77777777" w:rsidR="0018098F" w:rsidRPr="009D5D7E" w:rsidRDefault="0018098F" w:rsidP="00966B09">
            <w:pPr>
              <w:rPr>
                <w:sz w:val="22"/>
                <w:szCs w:val="22"/>
              </w:rPr>
            </w:pPr>
            <w:r w:rsidRPr="009D5D7E">
              <w:rPr>
                <w:sz w:val="22"/>
                <w:szCs w:val="22"/>
              </w:rPr>
              <w:t>30</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471A3ACC" w14:textId="77777777" w:rsidR="0018098F" w:rsidRPr="009D5D7E" w:rsidRDefault="0018098F" w:rsidP="00966B09">
            <w:pPr>
              <w:rPr>
                <w:sz w:val="22"/>
                <w:szCs w:val="22"/>
              </w:rPr>
            </w:pPr>
            <w:r w:rsidRPr="009D5D7E">
              <w:rPr>
                <w:sz w:val="22"/>
                <w:szCs w:val="22"/>
              </w:rPr>
              <w:t>tablet</w:t>
            </w:r>
          </w:p>
        </w:tc>
        <w:tc>
          <w:tcPr>
            <w:tcW w:w="0" w:type="auto"/>
            <w:tcBorders>
              <w:top w:val="single" w:sz="6" w:space="0" w:color="EFF1F3"/>
              <w:left w:val="single" w:sz="6" w:space="0" w:color="EFF1F3"/>
              <w:bottom w:val="single" w:sz="6" w:space="0" w:color="EFF1F3"/>
              <w:right w:val="single" w:sz="6" w:space="0" w:color="EFF1F3"/>
            </w:tcBorders>
            <w:shd w:val="clear" w:color="auto" w:fill="EFF1F3"/>
            <w:tcMar>
              <w:top w:w="90" w:type="dxa"/>
              <w:left w:w="90" w:type="dxa"/>
              <w:bottom w:w="90" w:type="dxa"/>
              <w:right w:w="90" w:type="dxa"/>
            </w:tcMar>
            <w:hideMark/>
          </w:tcPr>
          <w:p w14:paraId="544E733C" w14:textId="77777777" w:rsidR="0018098F" w:rsidRPr="009D5D7E" w:rsidRDefault="0018098F" w:rsidP="00966B09">
            <w:pPr>
              <w:rPr>
                <w:sz w:val="22"/>
                <w:szCs w:val="22"/>
              </w:rPr>
            </w:pPr>
            <w:r w:rsidRPr="009D5D7E">
              <w:rPr>
                <w:sz w:val="22"/>
                <w:szCs w:val="22"/>
              </w:rPr>
              <w:t>£3.55</w:t>
            </w:r>
          </w:p>
        </w:tc>
      </w:tr>
    </w:tbl>
    <w:p w14:paraId="1869B14E" w14:textId="77777777" w:rsidR="0018098F" w:rsidRPr="009D5D7E" w:rsidRDefault="0018098F" w:rsidP="0018098F">
      <w:pPr>
        <w:suppressAutoHyphens w:val="0"/>
        <w:jc w:val="left"/>
        <w:rPr>
          <w:rFonts w:cs="Arial"/>
          <w:b/>
          <w:sz w:val="22"/>
          <w:szCs w:val="22"/>
        </w:rPr>
      </w:pPr>
    </w:p>
    <w:p w14:paraId="29C3BC5A" w14:textId="77777777" w:rsidR="0018098F" w:rsidRPr="009D5D7E" w:rsidRDefault="0018098F" w:rsidP="0018098F">
      <w:pPr>
        <w:suppressAutoHyphens w:val="0"/>
        <w:jc w:val="left"/>
        <w:rPr>
          <w:sz w:val="22"/>
          <w:szCs w:val="22"/>
        </w:rPr>
      </w:pPr>
      <w:r w:rsidRPr="009D5D7E">
        <w:rPr>
          <w:b/>
          <w:bCs/>
          <w:sz w:val="22"/>
          <w:szCs w:val="22"/>
        </w:rPr>
        <w:t>Check for contraindications for vitamin D</w:t>
      </w:r>
      <w:r w:rsidRPr="009D5D7E">
        <w:rPr>
          <w:sz w:val="22"/>
          <w:szCs w:val="22"/>
        </w:rPr>
        <w:t xml:space="preserve"> </w:t>
      </w:r>
    </w:p>
    <w:p w14:paraId="551D9951" w14:textId="77777777" w:rsidR="0018098F" w:rsidRPr="009D5D7E" w:rsidRDefault="0018098F" w:rsidP="0018098F">
      <w:pPr>
        <w:suppressAutoHyphens w:val="0"/>
        <w:jc w:val="left"/>
        <w:rPr>
          <w:sz w:val="22"/>
          <w:szCs w:val="22"/>
        </w:rPr>
      </w:pPr>
      <w:r w:rsidRPr="009D5D7E">
        <w:rPr>
          <w:sz w:val="22"/>
          <w:szCs w:val="22"/>
        </w:rPr>
        <w:t xml:space="preserve">Patients with hypercalcaemia (high levels of calcium in the blood) or metastatic calcification (deposits of calcium in otherwise normal tissue). </w:t>
      </w:r>
    </w:p>
    <w:p w14:paraId="6B8FA359" w14:textId="77777777" w:rsidR="0018098F" w:rsidRPr="009D5D7E" w:rsidRDefault="0018098F" w:rsidP="0018098F">
      <w:pPr>
        <w:suppressAutoHyphens w:val="0"/>
        <w:jc w:val="left"/>
        <w:rPr>
          <w:sz w:val="22"/>
          <w:szCs w:val="22"/>
        </w:rPr>
      </w:pPr>
      <w:r w:rsidRPr="009D5D7E">
        <w:rPr>
          <w:sz w:val="22"/>
          <w:szCs w:val="22"/>
        </w:rPr>
        <w:t>The pharmacist must check with the patient if they have these conditions. If the patient has either of these conditions, vitamin D must not be supplied. Caution must also be taken if the patient has a diagnosis of sarcoidosis. If the patient is already taking vitamin D in any other form (e.g., certain Calcium preparations contain vitamin D), further vitamin D should not be supplied</w:t>
      </w:r>
      <w:r>
        <w:rPr>
          <w:sz w:val="22"/>
          <w:szCs w:val="22"/>
        </w:rPr>
        <w:t xml:space="preserve"> via this scheme</w:t>
      </w:r>
      <w:r w:rsidRPr="009D5D7E">
        <w:rPr>
          <w:sz w:val="22"/>
          <w:szCs w:val="22"/>
        </w:rPr>
        <w:t xml:space="preserve">. </w:t>
      </w:r>
    </w:p>
    <w:p w14:paraId="007A6EE5" w14:textId="77777777" w:rsidR="0018098F" w:rsidRPr="009D5D7E" w:rsidRDefault="0018098F" w:rsidP="0018098F">
      <w:pPr>
        <w:suppressAutoHyphens w:val="0"/>
        <w:jc w:val="left"/>
        <w:rPr>
          <w:sz w:val="22"/>
          <w:szCs w:val="22"/>
        </w:rPr>
      </w:pPr>
    </w:p>
    <w:p w14:paraId="73FCE77C" w14:textId="77777777" w:rsidR="0018098F" w:rsidRPr="009D5D7E" w:rsidRDefault="0018098F" w:rsidP="0018098F">
      <w:pPr>
        <w:suppressAutoHyphens w:val="0"/>
        <w:jc w:val="left"/>
        <w:rPr>
          <w:sz w:val="22"/>
          <w:szCs w:val="22"/>
        </w:rPr>
      </w:pPr>
    </w:p>
    <w:p w14:paraId="484964E7" w14:textId="77777777" w:rsidR="0018098F" w:rsidRPr="009D5D7E" w:rsidRDefault="0018098F" w:rsidP="0018098F">
      <w:pPr>
        <w:suppressAutoHyphens w:val="0"/>
        <w:jc w:val="left"/>
        <w:rPr>
          <w:b/>
          <w:bCs/>
          <w:sz w:val="22"/>
          <w:szCs w:val="22"/>
        </w:rPr>
      </w:pPr>
      <w:r w:rsidRPr="009D5D7E">
        <w:rPr>
          <w:b/>
          <w:bCs/>
          <w:sz w:val="22"/>
          <w:szCs w:val="22"/>
        </w:rPr>
        <w:t xml:space="preserve">Check if a renal patient </w:t>
      </w:r>
    </w:p>
    <w:p w14:paraId="42B0C3AA" w14:textId="77777777" w:rsidR="0018098F" w:rsidRPr="009D5D7E" w:rsidRDefault="0018098F" w:rsidP="0018098F">
      <w:pPr>
        <w:suppressAutoHyphens w:val="0"/>
        <w:jc w:val="left"/>
        <w:rPr>
          <w:sz w:val="22"/>
          <w:szCs w:val="22"/>
        </w:rPr>
      </w:pPr>
      <w:r w:rsidRPr="009D5D7E">
        <w:rPr>
          <w:sz w:val="22"/>
          <w:szCs w:val="22"/>
        </w:rPr>
        <w:t>Patients with Chronic kidney disease should have their native Vitamin D replaced following advice from a renal consultant regarding replacement and monitoring requirements. Check if a renal patient and if so, do not supply</w:t>
      </w:r>
      <w:r>
        <w:rPr>
          <w:sz w:val="22"/>
          <w:szCs w:val="22"/>
        </w:rPr>
        <w:t xml:space="preserve"> via this scheme</w:t>
      </w:r>
      <w:r w:rsidRPr="009D5D7E">
        <w:rPr>
          <w:sz w:val="22"/>
          <w:szCs w:val="22"/>
        </w:rPr>
        <w:t xml:space="preserve">. </w:t>
      </w:r>
    </w:p>
    <w:p w14:paraId="124F311E" w14:textId="77777777" w:rsidR="0018098F" w:rsidRPr="009D5D7E" w:rsidRDefault="0018098F" w:rsidP="0018098F">
      <w:pPr>
        <w:suppressAutoHyphens w:val="0"/>
        <w:jc w:val="left"/>
        <w:rPr>
          <w:sz w:val="22"/>
          <w:szCs w:val="22"/>
        </w:rPr>
      </w:pPr>
    </w:p>
    <w:p w14:paraId="031C1602" w14:textId="77777777" w:rsidR="0018098F" w:rsidRPr="009D5D7E" w:rsidRDefault="0018098F" w:rsidP="0018098F">
      <w:pPr>
        <w:suppressAutoHyphens w:val="0"/>
        <w:jc w:val="left"/>
        <w:rPr>
          <w:b/>
          <w:bCs/>
          <w:sz w:val="22"/>
          <w:szCs w:val="22"/>
        </w:rPr>
      </w:pPr>
      <w:r w:rsidRPr="009D5D7E">
        <w:rPr>
          <w:b/>
          <w:bCs/>
          <w:sz w:val="22"/>
          <w:szCs w:val="22"/>
        </w:rPr>
        <w:lastRenderedPageBreak/>
        <w:t xml:space="preserve">Check if on anti-epileptic medication </w:t>
      </w:r>
    </w:p>
    <w:p w14:paraId="6784F07D" w14:textId="77777777" w:rsidR="0018098F" w:rsidRPr="009D5D7E" w:rsidRDefault="0018098F" w:rsidP="0018098F">
      <w:pPr>
        <w:suppressAutoHyphens w:val="0"/>
        <w:jc w:val="left"/>
        <w:rPr>
          <w:sz w:val="22"/>
          <w:szCs w:val="22"/>
        </w:rPr>
      </w:pPr>
      <w:r w:rsidRPr="12AB9A3A">
        <w:rPr>
          <w:sz w:val="22"/>
          <w:szCs w:val="22"/>
        </w:rPr>
        <w:t>Long-term use of anti-epileptic drugs (</w:t>
      </w:r>
      <w:proofErr w:type="gramStart"/>
      <w:r w:rsidRPr="12AB9A3A">
        <w:rPr>
          <w:sz w:val="22"/>
          <w:szCs w:val="22"/>
        </w:rPr>
        <w:t>in particular carbamazepine</w:t>
      </w:r>
      <w:proofErr w:type="gramEnd"/>
      <w:r w:rsidRPr="12AB9A3A">
        <w:rPr>
          <w:sz w:val="22"/>
          <w:szCs w:val="22"/>
        </w:rPr>
        <w:t>, phenytoin, phenobarbital, primidone and sodium valproate) is associated with decreased bone mineral density that may lead to osteopenia, osteoporosis, and increased fractures in at-risk patients. Vitamin D status should be assessed by their usual doctor and not be supplied via this scheme.</w:t>
      </w:r>
    </w:p>
    <w:p w14:paraId="0B599E4D" w14:textId="7EF7F49C" w:rsidR="12AB9A3A" w:rsidRDefault="12AB9A3A" w:rsidP="12AB9A3A">
      <w:pPr>
        <w:jc w:val="left"/>
        <w:rPr>
          <w:sz w:val="22"/>
          <w:szCs w:val="22"/>
        </w:rPr>
      </w:pPr>
    </w:p>
    <w:p w14:paraId="720ADA3B" w14:textId="77777777" w:rsidR="0018098F" w:rsidRPr="009D5D7E" w:rsidRDefault="0018098F" w:rsidP="0018098F">
      <w:pPr>
        <w:suppressAutoHyphens w:val="0"/>
        <w:jc w:val="left"/>
        <w:rPr>
          <w:rFonts w:cs="Arial"/>
          <w:b/>
          <w:sz w:val="22"/>
          <w:szCs w:val="22"/>
        </w:rPr>
      </w:pPr>
    </w:p>
    <w:p w14:paraId="2562ECB7" w14:textId="77777777" w:rsidR="0018098F" w:rsidRPr="009D5D7E" w:rsidRDefault="0018098F" w:rsidP="0018098F">
      <w:pPr>
        <w:suppressAutoHyphens w:val="0"/>
        <w:jc w:val="left"/>
        <w:rPr>
          <w:b/>
          <w:bCs/>
          <w:sz w:val="22"/>
          <w:szCs w:val="22"/>
          <w:u w:val="single"/>
        </w:rPr>
      </w:pPr>
      <w:r w:rsidRPr="009D5D7E">
        <w:rPr>
          <w:b/>
          <w:bCs/>
          <w:sz w:val="22"/>
          <w:szCs w:val="22"/>
          <w:u w:val="single"/>
        </w:rPr>
        <w:t>Further background to read</w:t>
      </w:r>
    </w:p>
    <w:p w14:paraId="5F1FF5E1" w14:textId="77777777" w:rsidR="0018098F" w:rsidRPr="009D5D7E" w:rsidRDefault="0018098F" w:rsidP="0018098F">
      <w:pPr>
        <w:suppressAutoHyphens w:val="0"/>
        <w:jc w:val="left"/>
        <w:rPr>
          <w:b/>
          <w:bCs/>
          <w:sz w:val="22"/>
          <w:szCs w:val="22"/>
          <w:u w:val="single"/>
        </w:rPr>
      </w:pPr>
    </w:p>
    <w:p w14:paraId="6828AAED" w14:textId="77777777" w:rsidR="0018098F" w:rsidRPr="009D5D7E" w:rsidRDefault="0018098F" w:rsidP="0018098F">
      <w:pPr>
        <w:suppressAutoHyphens w:val="0"/>
        <w:jc w:val="left"/>
        <w:rPr>
          <w:sz w:val="22"/>
          <w:szCs w:val="22"/>
        </w:rPr>
      </w:pPr>
      <w:r w:rsidRPr="009D5D7E">
        <w:rPr>
          <w:sz w:val="22"/>
          <w:szCs w:val="22"/>
        </w:rPr>
        <w:t xml:space="preserve">The NICE guidelines for preventing vitamin D deficiency in the population can be found here. </w:t>
      </w:r>
      <w:hyperlink r:id="rId20" w:history="1">
        <w:r w:rsidRPr="009D5D7E">
          <w:rPr>
            <w:rStyle w:val="Hyperlink"/>
            <w:sz w:val="22"/>
            <w:szCs w:val="22"/>
          </w:rPr>
          <w:t>https://www.nice.org.uk/guidance/ph56/resources/vitamin-d-supplement-use-in-specific-population-groups-pdf-1996421765317</w:t>
        </w:r>
      </w:hyperlink>
      <w:r w:rsidRPr="009D5D7E">
        <w:rPr>
          <w:sz w:val="22"/>
          <w:szCs w:val="22"/>
        </w:rPr>
        <w:t xml:space="preserve"> </w:t>
      </w:r>
    </w:p>
    <w:p w14:paraId="7B323F67" w14:textId="77777777" w:rsidR="0018098F" w:rsidRPr="009D5D7E" w:rsidRDefault="0018098F" w:rsidP="0018098F">
      <w:pPr>
        <w:suppressAutoHyphens w:val="0"/>
        <w:jc w:val="left"/>
        <w:rPr>
          <w:rFonts w:cs="Arial"/>
          <w:b/>
          <w:sz w:val="22"/>
          <w:szCs w:val="22"/>
        </w:rPr>
      </w:pPr>
    </w:p>
    <w:p w14:paraId="51B7558B" w14:textId="77777777" w:rsidR="0018098F" w:rsidRPr="009D5D7E" w:rsidRDefault="0018098F" w:rsidP="0018098F">
      <w:pPr>
        <w:suppressAutoHyphens w:val="0"/>
        <w:jc w:val="left"/>
        <w:rPr>
          <w:b/>
          <w:bCs/>
          <w:sz w:val="22"/>
          <w:szCs w:val="22"/>
        </w:rPr>
      </w:pPr>
      <w:r w:rsidRPr="009D5D7E">
        <w:rPr>
          <w:b/>
          <w:bCs/>
          <w:sz w:val="22"/>
          <w:szCs w:val="22"/>
        </w:rPr>
        <w:t xml:space="preserve">Importance of vitamin D </w:t>
      </w:r>
    </w:p>
    <w:p w14:paraId="01598A8B" w14:textId="77777777" w:rsidR="0018098F" w:rsidRPr="009D5D7E" w:rsidRDefault="0018098F" w:rsidP="0018098F">
      <w:pPr>
        <w:suppressAutoHyphens w:val="0"/>
        <w:jc w:val="left"/>
        <w:rPr>
          <w:sz w:val="22"/>
          <w:szCs w:val="22"/>
        </w:rPr>
      </w:pPr>
      <w:proofErr w:type="spellStart"/>
      <w:r w:rsidRPr="009D5D7E">
        <w:rPr>
          <w:sz w:val="22"/>
          <w:szCs w:val="22"/>
        </w:rPr>
        <w:t>Colecalciferol</w:t>
      </w:r>
      <w:proofErr w:type="spellEnd"/>
      <w:r w:rsidRPr="009D5D7E">
        <w:rPr>
          <w:sz w:val="22"/>
          <w:szCs w:val="22"/>
        </w:rPr>
        <w:t xml:space="preserve"> (vitamin D3) is essential for skeletal growth and bone health. Around 20% of adults and 8 to 24% of children may have low vitamin D status. Severe deficiency can result in rickets in children and </w:t>
      </w:r>
      <w:proofErr w:type="spellStart"/>
      <w:r w:rsidRPr="009D5D7E">
        <w:rPr>
          <w:sz w:val="22"/>
          <w:szCs w:val="22"/>
        </w:rPr>
        <w:t>osteomalacia</w:t>
      </w:r>
      <w:proofErr w:type="spellEnd"/>
      <w:r w:rsidRPr="009D5D7E">
        <w:rPr>
          <w:sz w:val="22"/>
          <w:szCs w:val="22"/>
        </w:rPr>
        <w:t xml:space="preserve"> in adults. It is recommended that everyone over one year of age should consume 10 micrograms of vitamin D daily, especially in the winter months as it is derived from sunlight.</w:t>
      </w:r>
    </w:p>
    <w:p w14:paraId="6324B030" w14:textId="77777777" w:rsidR="0018098F" w:rsidRPr="009D5D7E" w:rsidRDefault="0018098F" w:rsidP="0018098F">
      <w:pPr>
        <w:suppressAutoHyphens w:val="0"/>
        <w:jc w:val="left"/>
        <w:rPr>
          <w:sz w:val="22"/>
          <w:szCs w:val="22"/>
        </w:rPr>
      </w:pPr>
    </w:p>
    <w:p w14:paraId="11881C66" w14:textId="77777777" w:rsidR="0018098F" w:rsidRPr="009D5D7E" w:rsidRDefault="0018098F" w:rsidP="0018098F">
      <w:pPr>
        <w:suppressAutoHyphens w:val="0"/>
        <w:jc w:val="left"/>
        <w:rPr>
          <w:b/>
          <w:bCs/>
          <w:sz w:val="22"/>
          <w:szCs w:val="22"/>
        </w:rPr>
      </w:pPr>
      <w:r w:rsidRPr="009D5D7E">
        <w:rPr>
          <w:b/>
          <w:bCs/>
          <w:sz w:val="22"/>
          <w:szCs w:val="22"/>
        </w:rPr>
        <w:t xml:space="preserve">Prevention of vitamin D deficiency and insufficiency </w:t>
      </w:r>
    </w:p>
    <w:p w14:paraId="2DB636C5" w14:textId="77777777" w:rsidR="0018098F" w:rsidRPr="009D5D7E" w:rsidRDefault="0018098F" w:rsidP="0018098F">
      <w:pPr>
        <w:suppressAutoHyphens w:val="0"/>
        <w:jc w:val="left"/>
        <w:rPr>
          <w:sz w:val="22"/>
          <w:szCs w:val="22"/>
        </w:rPr>
      </w:pPr>
      <w:r w:rsidRPr="009D5D7E">
        <w:rPr>
          <w:sz w:val="22"/>
          <w:szCs w:val="22"/>
        </w:rPr>
        <w:t>It is important that people who find it hard to get enough vitamin D from the sun and their diet take a vitamin D supplement. Specific groups who may benefit from vitamin D supplementation are listed in the table below (Department of Health recommendations):</w:t>
      </w:r>
    </w:p>
    <w:p w14:paraId="425FE282" w14:textId="77777777" w:rsidR="0018098F" w:rsidRPr="009D5D7E" w:rsidRDefault="0018098F" w:rsidP="0018098F">
      <w:pPr>
        <w:suppressAutoHyphens w:val="0"/>
        <w:jc w:val="left"/>
        <w:rPr>
          <w:sz w:val="22"/>
          <w:szCs w:val="22"/>
        </w:rPr>
      </w:pPr>
      <w:r w:rsidRPr="009D5D7E">
        <w:rPr>
          <w:sz w:val="22"/>
          <w:szCs w:val="22"/>
        </w:rPr>
        <w:t xml:space="preserve"> </w:t>
      </w:r>
    </w:p>
    <w:tbl>
      <w:tblPr>
        <w:tblStyle w:val="TableGrid"/>
        <w:tblW w:w="0" w:type="auto"/>
        <w:tblLook w:val="04A0" w:firstRow="1" w:lastRow="0" w:firstColumn="1" w:lastColumn="0" w:noHBand="0" w:noVBand="1"/>
      </w:tblPr>
      <w:tblGrid>
        <w:gridCol w:w="4814"/>
        <w:gridCol w:w="4814"/>
      </w:tblGrid>
      <w:tr w:rsidR="0018098F" w:rsidRPr="009D5D7E" w14:paraId="451EC2E0" w14:textId="77777777" w:rsidTr="00966B09">
        <w:tc>
          <w:tcPr>
            <w:tcW w:w="4814" w:type="dxa"/>
          </w:tcPr>
          <w:p w14:paraId="73815EE1" w14:textId="77777777" w:rsidR="0018098F" w:rsidRPr="009D5D7E" w:rsidRDefault="0018098F" w:rsidP="00966B09">
            <w:pPr>
              <w:suppressAutoHyphens w:val="0"/>
              <w:jc w:val="left"/>
              <w:rPr>
                <w:b/>
                <w:bCs/>
                <w:sz w:val="22"/>
                <w:szCs w:val="22"/>
              </w:rPr>
            </w:pPr>
            <w:r w:rsidRPr="009D5D7E">
              <w:rPr>
                <w:b/>
                <w:bCs/>
                <w:sz w:val="22"/>
                <w:szCs w:val="22"/>
              </w:rPr>
              <w:t>People at risk of vitamin D deficiency</w:t>
            </w:r>
          </w:p>
          <w:p w14:paraId="4521CCC8" w14:textId="77777777" w:rsidR="0018098F" w:rsidRPr="009D5D7E" w:rsidRDefault="0018098F" w:rsidP="00966B09">
            <w:pPr>
              <w:suppressAutoHyphens w:val="0"/>
              <w:jc w:val="left"/>
              <w:rPr>
                <w:b/>
                <w:bCs/>
                <w:sz w:val="22"/>
                <w:szCs w:val="22"/>
              </w:rPr>
            </w:pPr>
          </w:p>
        </w:tc>
        <w:tc>
          <w:tcPr>
            <w:tcW w:w="4814" w:type="dxa"/>
          </w:tcPr>
          <w:p w14:paraId="3CB9F5FD" w14:textId="77777777" w:rsidR="0018098F" w:rsidRPr="009D5D7E" w:rsidRDefault="0018098F" w:rsidP="00966B09">
            <w:pPr>
              <w:suppressAutoHyphens w:val="0"/>
              <w:jc w:val="left"/>
              <w:rPr>
                <w:b/>
                <w:bCs/>
                <w:sz w:val="22"/>
                <w:szCs w:val="22"/>
              </w:rPr>
            </w:pPr>
            <w:r w:rsidRPr="009D5D7E">
              <w:rPr>
                <w:b/>
                <w:bCs/>
                <w:sz w:val="22"/>
                <w:szCs w:val="22"/>
              </w:rPr>
              <w:t>Daily vitamin D supplement</w:t>
            </w:r>
          </w:p>
        </w:tc>
      </w:tr>
      <w:tr w:rsidR="0018098F" w:rsidRPr="009D5D7E" w14:paraId="11493E49" w14:textId="77777777" w:rsidTr="00966B09">
        <w:tc>
          <w:tcPr>
            <w:tcW w:w="4814" w:type="dxa"/>
          </w:tcPr>
          <w:p w14:paraId="4826EEA8" w14:textId="77777777" w:rsidR="0018098F" w:rsidRPr="009D5D7E" w:rsidRDefault="0018098F" w:rsidP="00966B09">
            <w:pPr>
              <w:suppressAutoHyphens w:val="0"/>
              <w:jc w:val="left"/>
              <w:rPr>
                <w:sz w:val="22"/>
                <w:szCs w:val="22"/>
              </w:rPr>
            </w:pPr>
            <w:r w:rsidRPr="009D5D7E">
              <w:rPr>
                <w:sz w:val="22"/>
                <w:szCs w:val="22"/>
              </w:rPr>
              <w:t xml:space="preserve">All pregnant and breastfeeding women </w:t>
            </w:r>
          </w:p>
        </w:tc>
        <w:tc>
          <w:tcPr>
            <w:tcW w:w="4814" w:type="dxa"/>
          </w:tcPr>
          <w:p w14:paraId="189E705C" w14:textId="77777777" w:rsidR="0018098F" w:rsidRPr="009D5D7E" w:rsidRDefault="0018098F" w:rsidP="00966B09">
            <w:pPr>
              <w:suppressAutoHyphens w:val="0"/>
              <w:jc w:val="left"/>
              <w:rPr>
                <w:sz w:val="22"/>
                <w:szCs w:val="22"/>
              </w:rPr>
            </w:pPr>
            <w:r w:rsidRPr="009D5D7E">
              <w:rPr>
                <w:sz w:val="22"/>
                <w:szCs w:val="22"/>
              </w:rPr>
              <w:t>400 International Units (10 micrograms) / day</w:t>
            </w:r>
          </w:p>
        </w:tc>
      </w:tr>
      <w:tr w:rsidR="0018098F" w:rsidRPr="009D5D7E" w14:paraId="4FA5AE14" w14:textId="77777777" w:rsidTr="00966B09">
        <w:tc>
          <w:tcPr>
            <w:tcW w:w="4814" w:type="dxa"/>
          </w:tcPr>
          <w:p w14:paraId="41E72739" w14:textId="77777777" w:rsidR="0018098F" w:rsidRPr="009D5D7E" w:rsidRDefault="0018098F" w:rsidP="00966B09">
            <w:pPr>
              <w:suppressAutoHyphens w:val="0"/>
              <w:jc w:val="left"/>
              <w:rPr>
                <w:sz w:val="22"/>
                <w:szCs w:val="22"/>
              </w:rPr>
            </w:pPr>
            <w:r w:rsidRPr="009D5D7E">
              <w:rPr>
                <w:sz w:val="22"/>
                <w:szCs w:val="22"/>
              </w:rPr>
              <w:t>People who are not exposed to much sun (e.g., people confined indoors for long periods and those who cover their skin for cultural reasons)</w:t>
            </w:r>
          </w:p>
        </w:tc>
        <w:tc>
          <w:tcPr>
            <w:tcW w:w="4814" w:type="dxa"/>
          </w:tcPr>
          <w:p w14:paraId="5BD89218" w14:textId="77777777" w:rsidR="0018098F" w:rsidRPr="009D5D7E" w:rsidRDefault="0018098F" w:rsidP="00966B09">
            <w:pPr>
              <w:suppressAutoHyphens w:val="0"/>
              <w:jc w:val="left"/>
              <w:rPr>
                <w:sz w:val="22"/>
                <w:szCs w:val="22"/>
              </w:rPr>
            </w:pPr>
            <w:r w:rsidRPr="009D5D7E">
              <w:rPr>
                <w:sz w:val="22"/>
                <w:szCs w:val="22"/>
              </w:rPr>
              <w:t>400 International Units (10 micrograms) / day</w:t>
            </w:r>
          </w:p>
          <w:p w14:paraId="1E697B23" w14:textId="77777777" w:rsidR="0018098F" w:rsidRPr="009D5D7E" w:rsidRDefault="0018098F" w:rsidP="00966B09">
            <w:pPr>
              <w:suppressAutoHyphens w:val="0"/>
              <w:jc w:val="left"/>
              <w:rPr>
                <w:sz w:val="22"/>
                <w:szCs w:val="22"/>
              </w:rPr>
            </w:pPr>
          </w:p>
        </w:tc>
      </w:tr>
      <w:tr w:rsidR="0018098F" w:rsidRPr="009D5D7E" w14:paraId="1518522C" w14:textId="77777777" w:rsidTr="00966B09">
        <w:tc>
          <w:tcPr>
            <w:tcW w:w="4814" w:type="dxa"/>
          </w:tcPr>
          <w:p w14:paraId="2214103B" w14:textId="77777777" w:rsidR="0018098F" w:rsidRPr="009D5D7E" w:rsidRDefault="0018098F" w:rsidP="00966B09">
            <w:pPr>
              <w:suppressAutoHyphens w:val="0"/>
              <w:jc w:val="left"/>
              <w:rPr>
                <w:sz w:val="22"/>
                <w:szCs w:val="22"/>
              </w:rPr>
            </w:pPr>
            <w:r w:rsidRPr="009D5D7E">
              <w:rPr>
                <w:sz w:val="22"/>
                <w:szCs w:val="22"/>
              </w:rPr>
              <w:t>People aged 65 years and over</w:t>
            </w:r>
          </w:p>
        </w:tc>
        <w:tc>
          <w:tcPr>
            <w:tcW w:w="4814" w:type="dxa"/>
          </w:tcPr>
          <w:p w14:paraId="76BF6E8A" w14:textId="77777777" w:rsidR="0018098F" w:rsidRPr="009D5D7E" w:rsidRDefault="0018098F" w:rsidP="00966B09">
            <w:pPr>
              <w:suppressAutoHyphens w:val="0"/>
              <w:jc w:val="left"/>
              <w:rPr>
                <w:sz w:val="22"/>
                <w:szCs w:val="22"/>
              </w:rPr>
            </w:pPr>
            <w:r w:rsidRPr="009D5D7E">
              <w:rPr>
                <w:sz w:val="22"/>
                <w:szCs w:val="22"/>
              </w:rPr>
              <w:t>400 International Units (10 micrograms) / day</w:t>
            </w:r>
          </w:p>
          <w:p w14:paraId="29008C6F" w14:textId="77777777" w:rsidR="0018098F" w:rsidRPr="009D5D7E" w:rsidRDefault="0018098F" w:rsidP="00966B09">
            <w:pPr>
              <w:suppressAutoHyphens w:val="0"/>
              <w:jc w:val="left"/>
              <w:rPr>
                <w:sz w:val="22"/>
                <w:szCs w:val="22"/>
              </w:rPr>
            </w:pPr>
          </w:p>
        </w:tc>
      </w:tr>
    </w:tbl>
    <w:p w14:paraId="61151F46" w14:textId="77777777" w:rsidR="0018098F" w:rsidRPr="009D5D7E" w:rsidRDefault="0018098F" w:rsidP="0018098F">
      <w:pPr>
        <w:suppressAutoHyphens w:val="0"/>
        <w:jc w:val="left"/>
        <w:rPr>
          <w:sz w:val="22"/>
          <w:szCs w:val="22"/>
        </w:rPr>
      </w:pPr>
    </w:p>
    <w:p w14:paraId="025DB09A" w14:textId="77777777" w:rsidR="0018098F" w:rsidRPr="009D5D7E" w:rsidRDefault="0018098F" w:rsidP="0018098F">
      <w:pPr>
        <w:suppressAutoHyphens w:val="0"/>
        <w:jc w:val="left"/>
        <w:rPr>
          <w:sz w:val="22"/>
          <w:szCs w:val="22"/>
        </w:rPr>
      </w:pPr>
      <w:r w:rsidRPr="009D5D7E">
        <w:rPr>
          <w:sz w:val="22"/>
          <w:szCs w:val="22"/>
        </w:rPr>
        <w:t xml:space="preserve">Patients can be advised to buy over the counter vitamin D supplements or signposted to Healthy Start Clinics where Healthy Start Women’s vitamins are available beyond the winter months. </w:t>
      </w:r>
    </w:p>
    <w:p w14:paraId="5F4CB433" w14:textId="77777777" w:rsidR="0018098F" w:rsidRPr="009D5D7E" w:rsidRDefault="0018098F" w:rsidP="0018098F">
      <w:pPr>
        <w:suppressAutoHyphens w:val="0"/>
        <w:jc w:val="left"/>
        <w:rPr>
          <w:b/>
          <w:bCs/>
          <w:sz w:val="22"/>
          <w:szCs w:val="22"/>
        </w:rPr>
      </w:pPr>
    </w:p>
    <w:p w14:paraId="1CA9E179" w14:textId="77777777" w:rsidR="0018098F" w:rsidRPr="009D5D7E" w:rsidRDefault="0018098F" w:rsidP="0018098F">
      <w:pPr>
        <w:suppressAutoHyphens w:val="0"/>
        <w:jc w:val="left"/>
        <w:rPr>
          <w:b/>
          <w:bCs/>
          <w:sz w:val="22"/>
          <w:szCs w:val="22"/>
        </w:rPr>
      </w:pPr>
      <w:r w:rsidRPr="009D5D7E">
        <w:rPr>
          <w:b/>
          <w:bCs/>
          <w:sz w:val="22"/>
          <w:szCs w:val="22"/>
        </w:rPr>
        <w:t>Risk factors for vitamin D insufficiency and deficiency:</w:t>
      </w:r>
    </w:p>
    <w:p w14:paraId="3C3B9A60"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Infants and children under 5 </w:t>
      </w:r>
    </w:p>
    <w:p w14:paraId="559E3049" w14:textId="77777777" w:rsidR="0018098F" w:rsidRPr="009D5D7E" w:rsidRDefault="0018098F" w:rsidP="0018098F">
      <w:pPr>
        <w:tabs>
          <w:tab w:val="left" w:pos="6074"/>
        </w:tabs>
        <w:suppressAutoHyphens w:val="0"/>
        <w:jc w:val="left"/>
        <w:rPr>
          <w:sz w:val="22"/>
          <w:szCs w:val="22"/>
        </w:rPr>
      </w:pPr>
      <w:r w:rsidRPr="009D5D7E">
        <w:rPr>
          <w:rFonts w:ascii="Symbol" w:eastAsia="Symbol" w:hAnsi="Symbol" w:cs="Symbol"/>
          <w:sz w:val="22"/>
          <w:szCs w:val="22"/>
        </w:rPr>
        <w:t>·</w:t>
      </w:r>
      <w:r w:rsidRPr="009D5D7E">
        <w:rPr>
          <w:sz w:val="22"/>
          <w:szCs w:val="22"/>
        </w:rPr>
        <w:t xml:space="preserve"> Pigmented skin (non-white ethnicity) </w:t>
      </w:r>
      <w:r w:rsidRPr="009D5D7E">
        <w:rPr>
          <w:sz w:val="22"/>
          <w:szCs w:val="22"/>
        </w:rPr>
        <w:tab/>
      </w:r>
    </w:p>
    <w:p w14:paraId="30AF5170"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Pregnant and breastfeeding women, particularly teenagers and young women </w:t>
      </w:r>
    </w:p>
    <w:p w14:paraId="50D40543"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Lack of sunlight exposure </w:t>
      </w:r>
    </w:p>
    <w:p w14:paraId="70DAB16E"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People over 65 </w:t>
      </w:r>
    </w:p>
    <w:p w14:paraId="10D5BDDA"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Skin concealing garments or strict sunscreen use </w:t>
      </w:r>
    </w:p>
    <w:p w14:paraId="72E11574"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Multiple, short interval pregnancies </w:t>
      </w:r>
    </w:p>
    <w:p w14:paraId="40010B5C"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Elderly or housebound or confined indoors for long periods. </w:t>
      </w:r>
    </w:p>
    <w:p w14:paraId="031DAAF5"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Malabsorption (e.g., inflammatory bowel disease, coeliac disease, pancreatic insufficiency) </w:t>
      </w:r>
    </w:p>
    <w:p w14:paraId="24342703"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Use of anticonvulsants, rifampicin, cholestyramine, anti-</w:t>
      </w:r>
      <w:proofErr w:type="spellStart"/>
      <w:r w:rsidRPr="009D5D7E">
        <w:rPr>
          <w:sz w:val="22"/>
          <w:szCs w:val="22"/>
        </w:rPr>
        <w:t>retrovirals</w:t>
      </w:r>
      <w:proofErr w:type="spellEnd"/>
      <w:r w:rsidRPr="009D5D7E">
        <w:rPr>
          <w:sz w:val="22"/>
          <w:szCs w:val="22"/>
        </w:rPr>
        <w:t>, glucocorticoids</w:t>
      </w:r>
    </w:p>
    <w:p w14:paraId="7FC965CC"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Certain conditions e.g. liver or renal disease, cystic fibrosis </w:t>
      </w:r>
    </w:p>
    <w:p w14:paraId="6C532D6E" w14:textId="77777777" w:rsidR="0018098F" w:rsidRPr="009D5D7E" w:rsidRDefault="0018098F" w:rsidP="0018098F">
      <w:pPr>
        <w:suppressAutoHyphens w:val="0"/>
        <w:jc w:val="left"/>
        <w:rPr>
          <w:sz w:val="22"/>
          <w:szCs w:val="22"/>
        </w:rPr>
      </w:pPr>
      <w:r w:rsidRPr="009D5D7E">
        <w:rPr>
          <w:rFonts w:ascii="Symbol" w:eastAsia="Symbol" w:hAnsi="Symbol" w:cs="Symbol"/>
          <w:sz w:val="22"/>
          <w:szCs w:val="22"/>
        </w:rPr>
        <w:t>·</w:t>
      </w:r>
      <w:r w:rsidRPr="009D5D7E">
        <w:rPr>
          <w:sz w:val="22"/>
          <w:szCs w:val="22"/>
        </w:rPr>
        <w:t xml:space="preserve"> Obesity (BMI &gt; 30)</w:t>
      </w:r>
    </w:p>
    <w:p w14:paraId="4E02CB92" w14:textId="77777777" w:rsidR="0018098F" w:rsidRDefault="0018098F" w:rsidP="0018098F">
      <w:pPr>
        <w:suppressAutoHyphens w:val="0"/>
        <w:jc w:val="left"/>
        <w:rPr>
          <w:rFonts w:cs="Arial"/>
          <w:b/>
          <w:sz w:val="22"/>
          <w:szCs w:val="22"/>
        </w:rPr>
      </w:pPr>
    </w:p>
    <w:p w14:paraId="3086B2E7" w14:textId="5D864762" w:rsidR="0018098F" w:rsidRDefault="0018098F" w:rsidP="00A12603">
      <w:pPr>
        <w:suppressAutoHyphens w:val="0"/>
        <w:jc w:val="left"/>
        <w:rPr>
          <w:rFonts w:cs="Arial"/>
          <w:b/>
          <w:sz w:val="22"/>
          <w:szCs w:val="22"/>
        </w:rPr>
      </w:pPr>
    </w:p>
    <w:p w14:paraId="036D5C89" w14:textId="1583B6C2" w:rsidR="00CB65D1" w:rsidRDefault="00CB65D1" w:rsidP="00A12603">
      <w:pPr>
        <w:suppressAutoHyphens w:val="0"/>
        <w:jc w:val="left"/>
        <w:rPr>
          <w:rFonts w:cs="Arial"/>
          <w:b/>
          <w:sz w:val="22"/>
          <w:szCs w:val="22"/>
        </w:rPr>
      </w:pPr>
    </w:p>
    <w:p w14:paraId="7906F2C9" w14:textId="1A9CFFB5" w:rsidR="00CB65D1" w:rsidRDefault="00CB65D1" w:rsidP="00A12603">
      <w:pPr>
        <w:suppressAutoHyphens w:val="0"/>
        <w:jc w:val="left"/>
        <w:rPr>
          <w:rFonts w:cs="Arial"/>
          <w:b/>
          <w:sz w:val="22"/>
          <w:szCs w:val="22"/>
        </w:rPr>
      </w:pPr>
    </w:p>
    <w:p w14:paraId="28D68637" w14:textId="77777777" w:rsidR="000B6CBC" w:rsidRPr="00180633" w:rsidRDefault="000B6CBC" w:rsidP="000B6CBC">
      <w:pPr>
        <w:suppressAutoHyphens w:val="0"/>
        <w:jc w:val="left"/>
        <w:rPr>
          <w:rFonts w:cs="Arial"/>
          <w:b/>
          <w:szCs w:val="24"/>
        </w:rPr>
      </w:pPr>
      <w:r w:rsidRPr="00180633">
        <w:rPr>
          <w:rFonts w:cs="Arial"/>
          <w:b/>
          <w:szCs w:val="24"/>
        </w:rPr>
        <w:t xml:space="preserve">CHECKLIST </w:t>
      </w:r>
    </w:p>
    <w:p w14:paraId="121A81ED" w14:textId="7C96CDE7" w:rsidR="00CB65D1" w:rsidRDefault="00CB65D1" w:rsidP="00A12603">
      <w:pPr>
        <w:suppressAutoHyphens w:val="0"/>
        <w:jc w:val="left"/>
        <w:rPr>
          <w:rFonts w:cs="Arial"/>
          <w:b/>
          <w:sz w:val="22"/>
          <w:szCs w:val="22"/>
        </w:rPr>
      </w:pPr>
      <w:r w:rsidRPr="00591465">
        <w:rPr>
          <w:rFonts w:cs="Arial"/>
          <w:b/>
          <w:noProof/>
          <w:szCs w:val="24"/>
          <w:lang w:eastAsia="en-GB"/>
        </w:rPr>
        <w:drawing>
          <wp:inline distT="0" distB="0" distL="0" distR="0" wp14:anchorId="2A47A3CD" wp14:editId="19F1A29F">
            <wp:extent cx="5600700" cy="78676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0660A02" w14:textId="259AC891" w:rsidR="00281EC4" w:rsidRDefault="00281EC4" w:rsidP="00A12603">
      <w:pPr>
        <w:suppressAutoHyphens w:val="0"/>
        <w:jc w:val="left"/>
        <w:rPr>
          <w:rFonts w:cs="Arial"/>
          <w:b/>
          <w:sz w:val="22"/>
          <w:szCs w:val="22"/>
        </w:rPr>
      </w:pPr>
    </w:p>
    <w:p w14:paraId="3E0D3459" w14:textId="1B9E13B9" w:rsidR="00281EC4" w:rsidRDefault="00281EC4" w:rsidP="00A12603">
      <w:pPr>
        <w:suppressAutoHyphens w:val="0"/>
        <w:jc w:val="left"/>
        <w:rPr>
          <w:rFonts w:cs="Arial"/>
          <w:b/>
          <w:sz w:val="22"/>
          <w:szCs w:val="22"/>
        </w:rPr>
      </w:pPr>
    </w:p>
    <w:p w14:paraId="1A676E6F" w14:textId="0D046415" w:rsidR="00281EC4" w:rsidRDefault="00281EC4" w:rsidP="00A12603">
      <w:pPr>
        <w:suppressAutoHyphens w:val="0"/>
        <w:jc w:val="left"/>
        <w:rPr>
          <w:rFonts w:cs="Arial"/>
          <w:b/>
          <w:sz w:val="22"/>
          <w:szCs w:val="22"/>
        </w:rPr>
      </w:pPr>
    </w:p>
    <w:p w14:paraId="7C801F3D" w14:textId="5A3B6E68" w:rsidR="00281EC4" w:rsidRDefault="00281EC4" w:rsidP="00A12603">
      <w:pPr>
        <w:suppressAutoHyphens w:val="0"/>
        <w:jc w:val="left"/>
        <w:rPr>
          <w:rFonts w:cs="Arial"/>
          <w:b/>
          <w:sz w:val="22"/>
          <w:szCs w:val="22"/>
        </w:rPr>
      </w:pPr>
    </w:p>
    <w:p w14:paraId="35076060" w14:textId="77091F7C" w:rsidR="00281EC4" w:rsidRDefault="00281EC4" w:rsidP="00A12603">
      <w:pPr>
        <w:suppressAutoHyphens w:val="0"/>
        <w:jc w:val="left"/>
        <w:rPr>
          <w:rFonts w:cs="Arial"/>
          <w:b/>
          <w:sz w:val="22"/>
          <w:szCs w:val="22"/>
        </w:rPr>
      </w:pPr>
    </w:p>
    <w:p w14:paraId="1C0E03C1" w14:textId="77777777" w:rsidR="00A9379F" w:rsidRPr="00180633" w:rsidRDefault="00A9379F" w:rsidP="00A9379F">
      <w:pPr>
        <w:suppressAutoHyphens w:val="0"/>
        <w:jc w:val="center"/>
        <w:rPr>
          <w:rFonts w:cs="Arial"/>
          <w:b/>
          <w:szCs w:val="24"/>
        </w:rPr>
      </w:pPr>
      <w:r w:rsidRPr="00180633">
        <w:rPr>
          <w:rFonts w:cs="Arial"/>
          <w:b/>
          <w:szCs w:val="24"/>
        </w:rPr>
        <w:t>APPENDIX P</w:t>
      </w:r>
    </w:p>
    <w:p w14:paraId="60B2B5FD" w14:textId="77777777" w:rsidR="00A9379F" w:rsidRPr="00B14230" w:rsidRDefault="00A9379F" w:rsidP="00A9379F">
      <w:pPr>
        <w:rPr>
          <w:sz w:val="20"/>
        </w:rPr>
      </w:pPr>
    </w:p>
    <w:tbl>
      <w:tblPr>
        <w:tblStyle w:val="TableGrid"/>
        <w:tblW w:w="9634" w:type="dxa"/>
        <w:tblLook w:val="04A0" w:firstRow="1" w:lastRow="0" w:firstColumn="1" w:lastColumn="0" w:noHBand="0" w:noVBand="1"/>
      </w:tblPr>
      <w:tblGrid>
        <w:gridCol w:w="2235"/>
        <w:gridCol w:w="2925"/>
        <w:gridCol w:w="3879"/>
        <w:gridCol w:w="595"/>
      </w:tblGrid>
      <w:tr w:rsidR="00A9379F" w14:paraId="4F55CB8C" w14:textId="77777777" w:rsidTr="00F758E4">
        <w:tc>
          <w:tcPr>
            <w:tcW w:w="5160" w:type="dxa"/>
            <w:gridSpan w:val="2"/>
          </w:tcPr>
          <w:p w14:paraId="42FC9190" w14:textId="77777777" w:rsidR="00A9379F" w:rsidRPr="00F15963" w:rsidRDefault="00A9379F" w:rsidP="00966B09">
            <w:pPr>
              <w:suppressAutoHyphens w:val="0"/>
              <w:jc w:val="left"/>
              <w:rPr>
                <w:rFonts w:cs="Arial"/>
                <w:bCs/>
                <w:szCs w:val="24"/>
              </w:rPr>
            </w:pPr>
            <w:r w:rsidRPr="00F15963">
              <w:rPr>
                <w:rFonts w:cs="Arial"/>
                <w:bCs/>
                <w:szCs w:val="24"/>
              </w:rPr>
              <w:t>Date:</w:t>
            </w:r>
          </w:p>
          <w:p w14:paraId="6E69154E" w14:textId="77777777" w:rsidR="00A9379F" w:rsidRPr="00F15963" w:rsidRDefault="00A9379F" w:rsidP="00966B09">
            <w:pPr>
              <w:rPr>
                <w:bCs/>
                <w:szCs w:val="24"/>
              </w:rPr>
            </w:pPr>
          </w:p>
        </w:tc>
        <w:tc>
          <w:tcPr>
            <w:tcW w:w="4474" w:type="dxa"/>
            <w:gridSpan w:val="2"/>
          </w:tcPr>
          <w:p w14:paraId="506342ED" w14:textId="77777777" w:rsidR="00A9379F" w:rsidRPr="00F15963" w:rsidRDefault="00A9379F" w:rsidP="00966B09">
            <w:pPr>
              <w:suppressAutoHyphens w:val="0"/>
              <w:jc w:val="left"/>
              <w:rPr>
                <w:rFonts w:cs="Arial"/>
                <w:bCs/>
                <w:szCs w:val="24"/>
              </w:rPr>
            </w:pPr>
            <w:r w:rsidRPr="00F15963">
              <w:rPr>
                <w:rFonts w:cs="Arial"/>
                <w:bCs/>
                <w:szCs w:val="24"/>
              </w:rPr>
              <w:t>Time:</w:t>
            </w:r>
          </w:p>
          <w:p w14:paraId="0B0B6607" w14:textId="77777777" w:rsidR="00A9379F" w:rsidRPr="00F15963" w:rsidRDefault="00A9379F" w:rsidP="00966B09">
            <w:pPr>
              <w:rPr>
                <w:bCs/>
                <w:szCs w:val="24"/>
              </w:rPr>
            </w:pPr>
          </w:p>
        </w:tc>
      </w:tr>
      <w:tr w:rsidR="00A9379F" w14:paraId="4BA9C09A" w14:textId="77777777" w:rsidTr="00F758E4">
        <w:tc>
          <w:tcPr>
            <w:tcW w:w="2235" w:type="dxa"/>
          </w:tcPr>
          <w:p w14:paraId="296E8BC2" w14:textId="77777777" w:rsidR="00A9379F" w:rsidRPr="00F15963" w:rsidRDefault="00A9379F" w:rsidP="00966B09">
            <w:pPr>
              <w:jc w:val="left"/>
              <w:rPr>
                <w:bCs/>
                <w:szCs w:val="24"/>
              </w:rPr>
            </w:pPr>
            <w:r w:rsidRPr="00F15963">
              <w:rPr>
                <w:bCs/>
                <w:szCs w:val="24"/>
              </w:rPr>
              <w:t>Full name</w:t>
            </w:r>
          </w:p>
          <w:p w14:paraId="10F45969" w14:textId="77777777" w:rsidR="00A9379F" w:rsidRPr="00F15963" w:rsidRDefault="00A9379F" w:rsidP="00966B09">
            <w:pPr>
              <w:jc w:val="left"/>
              <w:rPr>
                <w:bCs/>
                <w:szCs w:val="24"/>
              </w:rPr>
            </w:pPr>
          </w:p>
        </w:tc>
        <w:tc>
          <w:tcPr>
            <w:tcW w:w="7399" w:type="dxa"/>
            <w:gridSpan w:val="3"/>
          </w:tcPr>
          <w:p w14:paraId="0916D303" w14:textId="77777777" w:rsidR="00A9379F" w:rsidRPr="00F15963" w:rsidRDefault="00A9379F" w:rsidP="00966B09">
            <w:pPr>
              <w:rPr>
                <w:bCs/>
                <w:szCs w:val="24"/>
              </w:rPr>
            </w:pPr>
          </w:p>
        </w:tc>
      </w:tr>
      <w:tr w:rsidR="00A9379F" w14:paraId="0EC94CF9" w14:textId="77777777" w:rsidTr="00F758E4">
        <w:tc>
          <w:tcPr>
            <w:tcW w:w="2235" w:type="dxa"/>
          </w:tcPr>
          <w:p w14:paraId="4A4EBBB8" w14:textId="77777777" w:rsidR="00A9379F" w:rsidRPr="00F15963" w:rsidRDefault="00A9379F" w:rsidP="00966B09">
            <w:pPr>
              <w:jc w:val="left"/>
              <w:rPr>
                <w:bCs/>
                <w:szCs w:val="24"/>
              </w:rPr>
            </w:pPr>
            <w:r w:rsidRPr="00F15963">
              <w:rPr>
                <w:bCs/>
                <w:szCs w:val="24"/>
              </w:rPr>
              <w:t>Full address</w:t>
            </w:r>
          </w:p>
          <w:p w14:paraId="498471A3" w14:textId="77777777" w:rsidR="00A9379F" w:rsidRPr="00F15963" w:rsidRDefault="00A9379F" w:rsidP="00966B09">
            <w:pPr>
              <w:jc w:val="left"/>
              <w:rPr>
                <w:bCs/>
                <w:szCs w:val="24"/>
              </w:rPr>
            </w:pPr>
          </w:p>
        </w:tc>
        <w:tc>
          <w:tcPr>
            <w:tcW w:w="7399" w:type="dxa"/>
            <w:gridSpan w:val="3"/>
          </w:tcPr>
          <w:p w14:paraId="7908545A" w14:textId="77777777" w:rsidR="00A9379F" w:rsidRDefault="00A9379F" w:rsidP="00966B09">
            <w:pPr>
              <w:rPr>
                <w:bCs/>
                <w:szCs w:val="24"/>
              </w:rPr>
            </w:pPr>
          </w:p>
          <w:p w14:paraId="4F98EE3D" w14:textId="77777777" w:rsidR="00A9379F" w:rsidRDefault="00A9379F" w:rsidP="00966B09">
            <w:pPr>
              <w:rPr>
                <w:bCs/>
                <w:szCs w:val="24"/>
              </w:rPr>
            </w:pPr>
          </w:p>
          <w:p w14:paraId="38F88994" w14:textId="77777777" w:rsidR="00A9379F" w:rsidRDefault="00A9379F" w:rsidP="00966B09">
            <w:pPr>
              <w:rPr>
                <w:bCs/>
                <w:szCs w:val="24"/>
              </w:rPr>
            </w:pPr>
          </w:p>
          <w:p w14:paraId="31C2D06D" w14:textId="77777777" w:rsidR="00A9379F" w:rsidRDefault="00A9379F" w:rsidP="00966B09">
            <w:pPr>
              <w:rPr>
                <w:bCs/>
                <w:szCs w:val="24"/>
              </w:rPr>
            </w:pPr>
          </w:p>
          <w:p w14:paraId="19C2C163" w14:textId="77777777" w:rsidR="00A9379F" w:rsidRDefault="00A9379F" w:rsidP="00966B09">
            <w:pPr>
              <w:rPr>
                <w:bCs/>
                <w:szCs w:val="24"/>
              </w:rPr>
            </w:pPr>
          </w:p>
          <w:p w14:paraId="5F81B9FF" w14:textId="77777777" w:rsidR="00A9379F" w:rsidRPr="00F15963" w:rsidRDefault="00A9379F" w:rsidP="00966B09">
            <w:pPr>
              <w:rPr>
                <w:bCs/>
                <w:szCs w:val="24"/>
              </w:rPr>
            </w:pPr>
          </w:p>
        </w:tc>
      </w:tr>
      <w:tr w:rsidR="00A9379F" w14:paraId="20AE3E34" w14:textId="77777777" w:rsidTr="00F758E4">
        <w:tc>
          <w:tcPr>
            <w:tcW w:w="2235" w:type="dxa"/>
          </w:tcPr>
          <w:p w14:paraId="5B9A9E0F" w14:textId="77777777" w:rsidR="00A9379F" w:rsidRPr="00F15963" w:rsidRDefault="00A9379F" w:rsidP="00966B09">
            <w:pPr>
              <w:jc w:val="left"/>
              <w:rPr>
                <w:bCs/>
                <w:szCs w:val="24"/>
              </w:rPr>
            </w:pPr>
            <w:r w:rsidRPr="00F15963">
              <w:rPr>
                <w:bCs/>
                <w:szCs w:val="24"/>
              </w:rPr>
              <w:t>Date of birth</w:t>
            </w:r>
          </w:p>
          <w:p w14:paraId="55AE88BA" w14:textId="77777777" w:rsidR="00A9379F" w:rsidRPr="00F15963" w:rsidRDefault="00A9379F" w:rsidP="00966B09">
            <w:pPr>
              <w:jc w:val="left"/>
              <w:rPr>
                <w:bCs/>
                <w:szCs w:val="24"/>
              </w:rPr>
            </w:pPr>
          </w:p>
        </w:tc>
        <w:tc>
          <w:tcPr>
            <w:tcW w:w="7399" w:type="dxa"/>
            <w:gridSpan w:val="3"/>
          </w:tcPr>
          <w:p w14:paraId="23C03B43" w14:textId="77777777" w:rsidR="00A9379F" w:rsidRPr="00F15963" w:rsidRDefault="00A9379F" w:rsidP="00966B09">
            <w:pPr>
              <w:rPr>
                <w:bCs/>
                <w:szCs w:val="24"/>
              </w:rPr>
            </w:pPr>
          </w:p>
        </w:tc>
      </w:tr>
      <w:tr w:rsidR="00A9379F" w14:paraId="7EF229EE" w14:textId="77777777" w:rsidTr="00F758E4">
        <w:tc>
          <w:tcPr>
            <w:tcW w:w="2235" w:type="dxa"/>
          </w:tcPr>
          <w:p w14:paraId="57950198" w14:textId="77777777" w:rsidR="00A9379F" w:rsidRPr="00F15963" w:rsidRDefault="00A9379F" w:rsidP="00966B09">
            <w:pPr>
              <w:jc w:val="left"/>
              <w:rPr>
                <w:bCs/>
                <w:szCs w:val="24"/>
              </w:rPr>
            </w:pPr>
            <w:r w:rsidRPr="00F15963">
              <w:rPr>
                <w:bCs/>
                <w:szCs w:val="24"/>
              </w:rPr>
              <w:t>Contact number</w:t>
            </w:r>
          </w:p>
          <w:p w14:paraId="0A6B009C" w14:textId="77777777" w:rsidR="00A9379F" w:rsidRPr="00F15963" w:rsidRDefault="00A9379F" w:rsidP="00966B09">
            <w:pPr>
              <w:jc w:val="left"/>
              <w:rPr>
                <w:bCs/>
                <w:szCs w:val="24"/>
              </w:rPr>
            </w:pPr>
          </w:p>
        </w:tc>
        <w:tc>
          <w:tcPr>
            <w:tcW w:w="7399" w:type="dxa"/>
            <w:gridSpan w:val="3"/>
          </w:tcPr>
          <w:p w14:paraId="460312B9" w14:textId="77777777" w:rsidR="00A9379F" w:rsidRPr="00F15963" w:rsidRDefault="00A9379F" w:rsidP="00966B09">
            <w:pPr>
              <w:rPr>
                <w:bCs/>
                <w:szCs w:val="24"/>
              </w:rPr>
            </w:pPr>
          </w:p>
        </w:tc>
      </w:tr>
      <w:tr w:rsidR="00A9379F" w14:paraId="4F8284C9" w14:textId="77777777" w:rsidTr="00F758E4">
        <w:tc>
          <w:tcPr>
            <w:tcW w:w="2235" w:type="dxa"/>
          </w:tcPr>
          <w:p w14:paraId="2B3F90CA" w14:textId="77777777" w:rsidR="00A9379F" w:rsidRPr="00F15963" w:rsidRDefault="00A9379F" w:rsidP="00966B09">
            <w:pPr>
              <w:jc w:val="left"/>
              <w:rPr>
                <w:bCs/>
                <w:szCs w:val="24"/>
              </w:rPr>
            </w:pPr>
            <w:r w:rsidRPr="00F15963">
              <w:rPr>
                <w:bCs/>
                <w:szCs w:val="24"/>
              </w:rPr>
              <w:t>Health conditions</w:t>
            </w:r>
          </w:p>
          <w:p w14:paraId="40A25CA4" w14:textId="77777777" w:rsidR="00A9379F" w:rsidRPr="00F15963" w:rsidRDefault="00A9379F" w:rsidP="00966B09">
            <w:pPr>
              <w:jc w:val="left"/>
              <w:rPr>
                <w:bCs/>
                <w:szCs w:val="24"/>
              </w:rPr>
            </w:pPr>
          </w:p>
          <w:p w14:paraId="2FC8CF74" w14:textId="77777777" w:rsidR="00A9379F" w:rsidRPr="00F15963" w:rsidRDefault="00A9379F" w:rsidP="00966B09">
            <w:pPr>
              <w:jc w:val="left"/>
              <w:rPr>
                <w:bCs/>
                <w:szCs w:val="24"/>
              </w:rPr>
            </w:pPr>
          </w:p>
          <w:p w14:paraId="45CB60BE" w14:textId="77777777" w:rsidR="00A9379F" w:rsidRPr="00F15963" w:rsidRDefault="00A9379F" w:rsidP="00966B09">
            <w:pPr>
              <w:jc w:val="left"/>
              <w:rPr>
                <w:bCs/>
                <w:szCs w:val="24"/>
              </w:rPr>
            </w:pPr>
          </w:p>
        </w:tc>
        <w:tc>
          <w:tcPr>
            <w:tcW w:w="7399" w:type="dxa"/>
            <w:gridSpan w:val="3"/>
          </w:tcPr>
          <w:p w14:paraId="264B3D6E" w14:textId="77777777" w:rsidR="00A9379F" w:rsidRDefault="00A9379F" w:rsidP="00966B09">
            <w:pPr>
              <w:rPr>
                <w:bCs/>
                <w:szCs w:val="24"/>
              </w:rPr>
            </w:pPr>
          </w:p>
          <w:p w14:paraId="2F8067B9" w14:textId="77777777" w:rsidR="00A9379F" w:rsidRDefault="00A9379F" w:rsidP="00966B09">
            <w:pPr>
              <w:rPr>
                <w:bCs/>
                <w:szCs w:val="24"/>
              </w:rPr>
            </w:pPr>
          </w:p>
          <w:p w14:paraId="6C17F7F9" w14:textId="77777777" w:rsidR="00A9379F" w:rsidRDefault="00A9379F" w:rsidP="00966B09">
            <w:pPr>
              <w:rPr>
                <w:bCs/>
                <w:szCs w:val="24"/>
              </w:rPr>
            </w:pPr>
          </w:p>
          <w:p w14:paraId="6E910E81" w14:textId="77777777" w:rsidR="00A9379F" w:rsidRDefault="00A9379F" w:rsidP="00966B09">
            <w:pPr>
              <w:rPr>
                <w:bCs/>
                <w:szCs w:val="24"/>
              </w:rPr>
            </w:pPr>
          </w:p>
          <w:p w14:paraId="4DE65F3A" w14:textId="77777777" w:rsidR="00A9379F" w:rsidRDefault="00A9379F" w:rsidP="00966B09">
            <w:pPr>
              <w:rPr>
                <w:bCs/>
                <w:szCs w:val="24"/>
              </w:rPr>
            </w:pPr>
          </w:p>
          <w:p w14:paraId="19E0115C" w14:textId="77777777" w:rsidR="00A9379F" w:rsidRDefault="00A9379F" w:rsidP="00966B09">
            <w:pPr>
              <w:rPr>
                <w:bCs/>
                <w:szCs w:val="24"/>
              </w:rPr>
            </w:pPr>
          </w:p>
          <w:p w14:paraId="4406AF5E" w14:textId="77777777" w:rsidR="00A9379F" w:rsidRPr="00F15963" w:rsidRDefault="00A9379F" w:rsidP="00966B09">
            <w:pPr>
              <w:rPr>
                <w:bCs/>
                <w:szCs w:val="24"/>
              </w:rPr>
            </w:pPr>
          </w:p>
        </w:tc>
      </w:tr>
      <w:tr w:rsidR="00A9379F" w14:paraId="069B78E4" w14:textId="77777777" w:rsidTr="00F758E4">
        <w:tc>
          <w:tcPr>
            <w:tcW w:w="2235" w:type="dxa"/>
          </w:tcPr>
          <w:p w14:paraId="5D2CF27A" w14:textId="77777777" w:rsidR="00A9379F" w:rsidRPr="00F15963" w:rsidRDefault="00A9379F" w:rsidP="00966B09">
            <w:pPr>
              <w:jc w:val="left"/>
              <w:rPr>
                <w:bCs/>
                <w:szCs w:val="24"/>
              </w:rPr>
            </w:pPr>
            <w:r w:rsidRPr="00F15963">
              <w:rPr>
                <w:bCs/>
                <w:szCs w:val="24"/>
              </w:rPr>
              <w:t>GP name and address</w:t>
            </w:r>
          </w:p>
          <w:p w14:paraId="205F1BE6" w14:textId="77777777" w:rsidR="00A9379F" w:rsidRPr="00F15963" w:rsidRDefault="00A9379F" w:rsidP="00966B09">
            <w:pPr>
              <w:jc w:val="left"/>
              <w:rPr>
                <w:bCs/>
                <w:szCs w:val="24"/>
              </w:rPr>
            </w:pPr>
          </w:p>
          <w:p w14:paraId="7BBDF768" w14:textId="77777777" w:rsidR="00A9379F" w:rsidRPr="00F15963" w:rsidRDefault="00A9379F" w:rsidP="00966B09">
            <w:pPr>
              <w:jc w:val="left"/>
              <w:rPr>
                <w:bCs/>
                <w:szCs w:val="24"/>
              </w:rPr>
            </w:pPr>
          </w:p>
          <w:p w14:paraId="41C93B1B" w14:textId="77777777" w:rsidR="00A9379F" w:rsidRPr="00F15963" w:rsidRDefault="00A9379F" w:rsidP="00966B09">
            <w:pPr>
              <w:jc w:val="left"/>
              <w:rPr>
                <w:bCs/>
                <w:szCs w:val="24"/>
              </w:rPr>
            </w:pPr>
          </w:p>
          <w:p w14:paraId="5FED4B0E" w14:textId="77777777" w:rsidR="00A9379F" w:rsidRPr="00F15963" w:rsidRDefault="00A9379F" w:rsidP="00966B09">
            <w:pPr>
              <w:jc w:val="left"/>
              <w:rPr>
                <w:bCs/>
                <w:szCs w:val="24"/>
              </w:rPr>
            </w:pPr>
          </w:p>
          <w:p w14:paraId="2D654688" w14:textId="77777777" w:rsidR="00A9379F" w:rsidRPr="00F15963" w:rsidRDefault="00A9379F" w:rsidP="00966B09">
            <w:pPr>
              <w:jc w:val="left"/>
              <w:rPr>
                <w:bCs/>
                <w:szCs w:val="24"/>
              </w:rPr>
            </w:pPr>
          </w:p>
        </w:tc>
        <w:tc>
          <w:tcPr>
            <w:tcW w:w="7399" w:type="dxa"/>
            <w:gridSpan w:val="3"/>
          </w:tcPr>
          <w:p w14:paraId="214F9F35" w14:textId="77777777" w:rsidR="00A9379F" w:rsidRPr="00F15963" w:rsidRDefault="00A9379F" w:rsidP="00966B09">
            <w:pPr>
              <w:rPr>
                <w:bCs/>
                <w:szCs w:val="24"/>
              </w:rPr>
            </w:pPr>
          </w:p>
        </w:tc>
      </w:tr>
      <w:tr w:rsidR="00A9379F" w14:paraId="71EFC6A8" w14:textId="77777777" w:rsidTr="00F758E4">
        <w:tc>
          <w:tcPr>
            <w:tcW w:w="9634" w:type="dxa"/>
            <w:gridSpan w:val="4"/>
          </w:tcPr>
          <w:p w14:paraId="157984FE" w14:textId="77777777" w:rsidR="00A9379F" w:rsidRPr="00D96559" w:rsidRDefault="00A9379F" w:rsidP="00966B09">
            <w:pPr>
              <w:jc w:val="center"/>
              <w:rPr>
                <w:b/>
                <w:sz w:val="32"/>
                <w:szCs w:val="32"/>
              </w:rPr>
            </w:pPr>
            <w:r>
              <w:rPr>
                <w:b/>
                <w:sz w:val="32"/>
                <w:szCs w:val="32"/>
              </w:rPr>
              <w:t>CHECKLIST</w:t>
            </w:r>
            <w:r w:rsidRPr="00D96559">
              <w:rPr>
                <w:b/>
                <w:sz w:val="32"/>
                <w:szCs w:val="32"/>
              </w:rPr>
              <w:t xml:space="preserve"> (tick as appropriate)</w:t>
            </w:r>
          </w:p>
        </w:tc>
      </w:tr>
      <w:tr w:rsidR="00A9379F" w14:paraId="5AFF0A92" w14:textId="77777777" w:rsidTr="00F758E4">
        <w:tc>
          <w:tcPr>
            <w:tcW w:w="9039" w:type="dxa"/>
            <w:gridSpan w:val="3"/>
          </w:tcPr>
          <w:p w14:paraId="16A518B0" w14:textId="77777777" w:rsidR="00A9379F" w:rsidRPr="00F15963" w:rsidRDefault="00A9379F" w:rsidP="00A9379F">
            <w:pPr>
              <w:pStyle w:val="ListParagraph"/>
              <w:numPr>
                <w:ilvl w:val="0"/>
                <w:numId w:val="16"/>
              </w:numPr>
              <w:rPr>
                <w:b/>
                <w:szCs w:val="24"/>
              </w:rPr>
            </w:pPr>
            <w:r w:rsidRPr="00F15963">
              <w:rPr>
                <w:b/>
                <w:szCs w:val="24"/>
              </w:rPr>
              <w:t>Check voucher</w:t>
            </w:r>
          </w:p>
        </w:tc>
        <w:tc>
          <w:tcPr>
            <w:tcW w:w="595" w:type="dxa"/>
          </w:tcPr>
          <w:p w14:paraId="56B0E2F1" w14:textId="77777777" w:rsidR="00A9379F" w:rsidRPr="00F15963" w:rsidRDefault="00A9379F" w:rsidP="00966B09">
            <w:pPr>
              <w:rPr>
                <w:bCs/>
                <w:szCs w:val="24"/>
              </w:rPr>
            </w:pPr>
          </w:p>
        </w:tc>
      </w:tr>
      <w:tr w:rsidR="00A9379F" w14:paraId="3C0A301A" w14:textId="77777777" w:rsidTr="00F758E4">
        <w:tc>
          <w:tcPr>
            <w:tcW w:w="9039" w:type="dxa"/>
            <w:gridSpan w:val="3"/>
          </w:tcPr>
          <w:p w14:paraId="054566C6" w14:textId="77777777" w:rsidR="00A9379F" w:rsidRPr="00D96559" w:rsidRDefault="00A9379F" w:rsidP="00A9379F">
            <w:pPr>
              <w:pStyle w:val="ListParagraph"/>
              <w:numPr>
                <w:ilvl w:val="0"/>
                <w:numId w:val="16"/>
              </w:numPr>
              <w:rPr>
                <w:b/>
                <w:szCs w:val="24"/>
              </w:rPr>
            </w:pPr>
            <w:r w:rsidRPr="00D96559">
              <w:rPr>
                <w:b/>
                <w:szCs w:val="24"/>
              </w:rPr>
              <w:t>Not already taking vitamin D in any form</w:t>
            </w:r>
          </w:p>
        </w:tc>
        <w:tc>
          <w:tcPr>
            <w:tcW w:w="595" w:type="dxa"/>
          </w:tcPr>
          <w:p w14:paraId="52846457" w14:textId="77777777" w:rsidR="00A9379F" w:rsidRPr="00F15963" w:rsidRDefault="00A9379F" w:rsidP="00966B09">
            <w:pPr>
              <w:rPr>
                <w:bCs/>
                <w:szCs w:val="24"/>
              </w:rPr>
            </w:pPr>
          </w:p>
        </w:tc>
      </w:tr>
      <w:tr w:rsidR="00A9379F" w14:paraId="65E2B618" w14:textId="77777777" w:rsidTr="00F758E4">
        <w:tc>
          <w:tcPr>
            <w:tcW w:w="9634" w:type="dxa"/>
            <w:gridSpan w:val="4"/>
          </w:tcPr>
          <w:p w14:paraId="6DE42EC2" w14:textId="77777777" w:rsidR="00A9379F" w:rsidRPr="00D96559" w:rsidRDefault="00A9379F" w:rsidP="00A9379F">
            <w:pPr>
              <w:pStyle w:val="ListParagraph"/>
              <w:numPr>
                <w:ilvl w:val="0"/>
                <w:numId w:val="16"/>
              </w:numPr>
              <w:rPr>
                <w:b/>
                <w:szCs w:val="24"/>
              </w:rPr>
            </w:pPr>
            <w:r w:rsidRPr="00D96559">
              <w:rPr>
                <w:b/>
                <w:szCs w:val="24"/>
              </w:rPr>
              <w:t>Check contraindications</w:t>
            </w:r>
          </w:p>
        </w:tc>
      </w:tr>
      <w:tr w:rsidR="00A9379F" w14:paraId="4C25CE9A" w14:textId="77777777" w:rsidTr="00F758E4">
        <w:tc>
          <w:tcPr>
            <w:tcW w:w="9039" w:type="dxa"/>
            <w:gridSpan w:val="3"/>
          </w:tcPr>
          <w:p w14:paraId="4570AD08" w14:textId="77777777" w:rsidR="00A9379F" w:rsidRPr="00D96559" w:rsidRDefault="00A9379F" w:rsidP="00A9379F">
            <w:pPr>
              <w:pStyle w:val="ListParagraph"/>
              <w:numPr>
                <w:ilvl w:val="0"/>
                <w:numId w:val="17"/>
              </w:numPr>
              <w:rPr>
                <w:bCs/>
                <w:szCs w:val="24"/>
              </w:rPr>
            </w:pPr>
            <w:r w:rsidRPr="00D96559">
              <w:rPr>
                <w:bCs/>
                <w:szCs w:val="24"/>
              </w:rPr>
              <w:t xml:space="preserve">No </w:t>
            </w:r>
            <w:r>
              <w:rPr>
                <w:bCs/>
                <w:szCs w:val="24"/>
              </w:rPr>
              <w:t>h</w:t>
            </w:r>
            <w:r w:rsidRPr="00D96559">
              <w:rPr>
                <w:bCs/>
                <w:szCs w:val="24"/>
              </w:rPr>
              <w:t>ypercalcaemia</w:t>
            </w:r>
          </w:p>
        </w:tc>
        <w:tc>
          <w:tcPr>
            <w:tcW w:w="595" w:type="dxa"/>
          </w:tcPr>
          <w:p w14:paraId="0EAADE7B" w14:textId="77777777" w:rsidR="00A9379F" w:rsidRPr="00F15963" w:rsidRDefault="00A9379F" w:rsidP="00966B09">
            <w:pPr>
              <w:rPr>
                <w:bCs/>
                <w:szCs w:val="24"/>
              </w:rPr>
            </w:pPr>
          </w:p>
        </w:tc>
      </w:tr>
      <w:tr w:rsidR="00A9379F" w14:paraId="58B81DD6" w14:textId="77777777" w:rsidTr="00F758E4">
        <w:tc>
          <w:tcPr>
            <w:tcW w:w="9039" w:type="dxa"/>
            <w:gridSpan w:val="3"/>
          </w:tcPr>
          <w:p w14:paraId="6173D371" w14:textId="77777777" w:rsidR="00A9379F" w:rsidRPr="00D96559" w:rsidRDefault="00A9379F" w:rsidP="00A9379F">
            <w:pPr>
              <w:pStyle w:val="ListParagraph"/>
              <w:numPr>
                <w:ilvl w:val="0"/>
                <w:numId w:val="17"/>
              </w:numPr>
              <w:rPr>
                <w:bCs/>
                <w:szCs w:val="24"/>
              </w:rPr>
            </w:pPr>
            <w:r w:rsidRPr="00D96559">
              <w:rPr>
                <w:bCs/>
                <w:szCs w:val="24"/>
              </w:rPr>
              <w:t xml:space="preserve">No </w:t>
            </w:r>
            <w:r>
              <w:rPr>
                <w:bCs/>
                <w:szCs w:val="24"/>
              </w:rPr>
              <w:t>m</w:t>
            </w:r>
            <w:r w:rsidRPr="00D96559">
              <w:rPr>
                <w:bCs/>
                <w:szCs w:val="24"/>
              </w:rPr>
              <w:t xml:space="preserve">etastatic calcification </w:t>
            </w:r>
          </w:p>
        </w:tc>
        <w:tc>
          <w:tcPr>
            <w:tcW w:w="595" w:type="dxa"/>
          </w:tcPr>
          <w:p w14:paraId="33838CAA" w14:textId="77777777" w:rsidR="00A9379F" w:rsidRPr="00F15963" w:rsidRDefault="00A9379F" w:rsidP="00966B09">
            <w:pPr>
              <w:rPr>
                <w:bCs/>
                <w:szCs w:val="24"/>
              </w:rPr>
            </w:pPr>
          </w:p>
        </w:tc>
      </w:tr>
      <w:tr w:rsidR="00A9379F" w14:paraId="506A7188" w14:textId="77777777" w:rsidTr="00F758E4">
        <w:tc>
          <w:tcPr>
            <w:tcW w:w="9039" w:type="dxa"/>
            <w:gridSpan w:val="3"/>
          </w:tcPr>
          <w:p w14:paraId="2A5D90E8" w14:textId="77777777" w:rsidR="00A9379F" w:rsidRPr="00D96559" w:rsidRDefault="00A9379F" w:rsidP="00A9379F">
            <w:pPr>
              <w:pStyle w:val="ListParagraph"/>
              <w:numPr>
                <w:ilvl w:val="0"/>
                <w:numId w:val="17"/>
              </w:numPr>
              <w:rPr>
                <w:bCs/>
                <w:szCs w:val="24"/>
              </w:rPr>
            </w:pPr>
            <w:r w:rsidRPr="00D96559">
              <w:rPr>
                <w:bCs/>
                <w:szCs w:val="24"/>
              </w:rPr>
              <w:t xml:space="preserve">No </w:t>
            </w:r>
            <w:r>
              <w:rPr>
                <w:bCs/>
                <w:szCs w:val="24"/>
              </w:rPr>
              <w:t>s</w:t>
            </w:r>
            <w:r w:rsidRPr="00D96559">
              <w:rPr>
                <w:bCs/>
                <w:szCs w:val="24"/>
              </w:rPr>
              <w:t>arcoidosis</w:t>
            </w:r>
          </w:p>
        </w:tc>
        <w:tc>
          <w:tcPr>
            <w:tcW w:w="595" w:type="dxa"/>
          </w:tcPr>
          <w:p w14:paraId="628CD8EA" w14:textId="77777777" w:rsidR="00A9379F" w:rsidRPr="00F15963" w:rsidRDefault="00A9379F" w:rsidP="00966B09">
            <w:pPr>
              <w:rPr>
                <w:bCs/>
                <w:szCs w:val="24"/>
              </w:rPr>
            </w:pPr>
          </w:p>
        </w:tc>
      </w:tr>
      <w:tr w:rsidR="00A9379F" w14:paraId="30C31995" w14:textId="77777777" w:rsidTr="00F758E4">
        <w:tc>
          <w:tcPr>
            <w:tcW w:w="9039" w:type="dxa"/>
            <w:gridSpan w:val="3"/>
          </w:tcPr>
          <w:p w14:paraId="1E925729" w14:textId="77777777" w:rsidR="00A9379F" w:rsidRPr="00D96559" w:rsidRDefault="00A9379F" w:rsidP="00A9379F">
            <w:pPr>
              <w:pStyle w:val="ListParagraph"/>
              <w:numPr>
                <w:ilvl w:val="0"/>
                <w:numId w:val="17"/>
              </w:numPr>
              <w:rPr>
                <w:bCs/>
                <w:szCs w:val="24"/>
              </w:rPr>
            </w:pPr>
            <w:r w:rsidRPr="00D96559">
              <w:rPr>
                <w:bCs/>
                <w:szCs w:val="24"/>
              </w:rPr>
              <w:t>Not a renal patient</w:t>
            </w:r>
          </w:p>
        </w:tc>
        <w:tc>
          <w:tcPr>
            <w:tcW w:w="595" w:type="dxa"/>
          </w:tcPr>
          <w:p w14:paraId="6F2670D2" w14:textId="77777777" w:rsidR="00A9379F" w:rsidRPr="00F15963" w:rsidRDefault="00A9379F" w:rsidP="00966B09">
            <w:pPr>
              <w:rPr>
                <w:bCs/>
                <w:szCs w:val="24"/>
              </w:rPr>
            </w:pPr>
          </w:p>
        </w:tc>
      </w:tr>
      <w:tr w:rsidR="00A9379F" w14:paraId="79271DB5" w14:textId="77777777" w:rsidTr="00F758E4">
        <w:tc>
          <w:tcPr>
            <w:tcW w:w="9039" w:type="dxa"/>
            <w:gridSpan w:val="3"/>
          </w:tcPr>
          <w:p w14:paraId="47B9352E" w14:textId="77777777" w:rsidR="00A9379F" w:rsidRPr="00D96559" w:rsidRDefault="00A9379F" w:rsidP="00A9379F">
            <w:pPr>
              <w:pStyle w:val="ListParagraph"/>
              <w:numPr>
                <w:ilvl w:val="0"/>
                <w:numId w:val="17"/>
              </w:numPr>
              <w:rPr>
                <w:bCs/>
                <w:szCs w:val="24"/>
              </w:rPr>
            </w:pPr>
            <w:r w:rsidRPr="00D96559">
              <w:rPr>
                <w:bCs/>
                <w:szCs w:val="24"/>
              </w:rPr>
              <w:t>Not on anti-epileptic medication</w:t>
            </w:r>
          </w:p>
        </w:tc>
        <w:tc>
          <w:tcPr>
            <w:tcW w:w="595" w:type="dxa"/>
          </w:tcPr>
          <w:p w14:paraId="273A0D90" w14:textId="77777777" w:rsidR="00A9379F" w:rsidRPr="00F15963" w:rsidRDefault="00A9379F" w:rsidP="00966B09">
            <w:pPr>
              <w:rPr>
                <w:bCs/>
                <w:szCs w:val="24"/>
              </w:rPr>
            </w:pPr>
          </w:p>
        </w:tc>
      </w:tr>
      <w:tr w:rsidR="00A9379F" w14:paraId="441CFDE3" w14:textId="77777777" w:rsidTr="00F758E4">
        <w:tc>
          <w:tcPr>
            <w:tcW w:w="9039" w:type="dxa"/>
            <w:gridSpan w:val="3"/>
          </w:tcPr>
          <w:p w14:paraId="6CABA522" w14:textId="77777777" w:rsidR="00A9379F" w:rsidRDefault="00A9379F" w:rsidP="00966B09">
            <w:pPr>
              <w:rPr>
                <w:b/>
                <w:bCs/>
                <w:szCs w:val="24"/>
              </w:rPr>
            </w:pPr>
            <w:r>
              <w:rPr>
                <w:b/>
                <w:bCs/>
                <w:szCs w:val="24"/>
              </w:rPr>
              <w:t>Explained dosage (one tablet per day)</w:t>
            </w:r>
          </w:p>
        </w:tc>
        <w:tc>
          <w:tcPr>
            <w:tcW w:w="595" w:type="dxa"/>
          </w:tcPr>
          <w:p w14:paraId="0FEAF746" w14:textId="77777777" w:rsidR="00A9379F" w:rsidRPr="00F15963" w:rsidRDefault="00A9379F" w:rsidP="00966B09">
            <w:pPr>
              <w:rPr>
                <w:szCs w:val="24"/>
              </w:rPr>
            </w:pPr>
          </w:p>
        </w:tc>
      </w:tr>
      <w:tr w:rsidR="00A9379F" w14:paraId="2ACE47CC" w14:textId="77777777" w:rsidTr="00F758E4">
        <w:tc>
          <w:tcPr>
            <w:tcW w:w="9039" w:type="dxa"/>
            <w:gridSpan w:val="3"/>
          </w:tcPr>
          <w:p w14:paraId="2744D5EB" w14:textId="77777777" w:rsidR="00A9379F" w:rsidRPr="00F15963" w:rsidRDefault="00A9379F" w:rsidP="00966B09">
            <w:pPr>
              <w:rPr>
                <w:b/>
                <w:bCs/>
                <w:szCs w:val="24"/>
              </w:rPr>
            </w:pPr>
            <w:r>
              <w:rPr>
                <w:b/>
                <w:bCs/>
                <w:szCs w:val="24"/>
              </w:rPr>
              <w:t>Form fully completed</w:t>
            </w:r>
          </w:p>
        </w:tc>
        <w:tc>
          <w:tcPr>
            <w:tcW w:w="595" w:type="dxa"/>
          </w:tcPr>
          <w:p w14:paraId="16CF53CB" w14:textId="77777777" w:rsidR="00A9379F" w:rsidRPr="00F15963" w:rsidRDefault="00A9379F" w:rsidP="00966B09">
            <w:pPr>
              <w:rPr>
                <w:szCs w:val="24"/>
              </w:rPr>
            </w:pPr>
          </w:p>
        </w:tc>
      </w:tr>
      <w:tr w:rsidR="00A9379F" w14:paraId="254EB6F9" w14:textId="77777777" w:rsidTr="00F758E4">
        <w:tc>
          <w:tcPr>
            <w:tcW w:w="9039" w:type="dxa"/>
            <w:gridSpan w:val="3"/>
          </w:tcPr>
          <w:p w14:paraId="46A527AA" w14:textId="37E54FD6" w:rsidR="00A9379F" w:rsidRPr="00F15963" w:rsidRDefault="00A9379F" w:rsidP="00966B09">
            <w:pPr>
              <w:rPr>
                <w:szCs w:val="24"/>
              </w:rPr>
            </w:pPr>
            <w:r w:rsidRPr="00F15963">
              <w:rPr>
                <w:b/>
                <w:bCs/>
                <w:szCs w:val="24"/>
              </w:rPr>
              <w:t>Suppl</w:t>
            </w:r>
            <w:r>
              <w:rPr>
                <w:b/>
                <w:bCs/>
                <w:szCs w:val="24"/>
              </w:rPr>
              <w:t>ied</w:t>
            </w:r>
            <w:r w:rsidRPr="00F15963">
              <w:rPr>
                <w:b/>
                <w:bCs/>
                <w:szCs w:val="24"/>
              </w:rPr>
              <w:t xml:space="preserve"> tablets for </w:t>
            </w:r>
            <w:r w:rsidR="00B80A0F">
              <w:rPr>
                <w:b/>
                <w:bCs/>
                <w:szCs w:val="24"/>
              </w:rPr>
              <w:t>4</w:t>
            </w:r>
            <w:r w:rsidRPr="00F15963">
              <w:rPr>
                <w:b/>
                <w:bCs/>
                <w:szCs w:val="24"/>
              </w:rPr>
              <w:t xml:space="preserve"> months</w:t>
            </w:r>
          </w:p>
        </w:tc>
        <w:tc>
          <w:tcPr>
            <w:tcW w:w="595" w:type="dxa"/>
          </w:tcPr>
          <w:p w14:paraId="48EF7455" w14:textId="77777777" w:rsidR="00A9379F" w:rsidRPr="00F15963" w:rsidRDefault="00A9379F" w:rsidP="00966B09">
            <w:pPr>
              <w:rPr>
                <w:szCs w:val="24"/>
              </w:rPr>
            </w:pPr>
          </w:p>
        </w:tc>
      </w:tr>
    </w:tbl>
    <w:p w14:paraId="57CE3CFB" w14:textId="77777777" w:rsidR="00A9379F" w:rsidRPr="00B14230" w:rsidRDefault="00A9379F" w:rsidP="00A9379F">
      <w:pPr>
        <w:rPr>
          <w:sz w:val="20"/>
        </w:rPr>
      </w:pPr>
    </w:p>
    <w:p w14:paraId="1E0650D0" w14:textId="77777777" w:rsidR="00A9379F" w:rsidRPr="0013491C" w:rsidRDefault="00A9379F" w:rsidP="00A9379F">
      <w:pPr>
        <w:suppressAutoHyphens w:val="0"/>
        <w:jc w:val="left"/>
        <w:rPr>
          <w:rFonts w:cs="Arial"/>
          <w:b/>
          <w:sz w:val="22"/>
          <w:szCs w:val="22"/>
        </w:rPr>
      </w:pPr>
    </w:p>
    <w:p w14:paraId="3409C55E" w14:textId="77777777" w:rsidR="00281EC4" w:rsidRPr="00BA6628" w:rsidRDefault="00281EC4" w:rsidP="00A12603">
      <w:pPr>
        <w:suppressAutoHyphens w:val="0"/>
        <w:jc w:val="left"/>
        <w:rPr>
          <w:rFonts w:cs="Arial"/>
          <w:b/>
          <w:sz w:val="22"/>
          <w:szCs w:val="22"/>
        </w:rPr>
      </w:pPr>
    </w:p>
    <w:sectPr w:rsidR="00281EC4" w:rsidRPr="00BA6628" w:rsidSect="00082F8F">
      <w:headerReference w:type="even" r:id="rId26"/>
      <w:footerReference w:type="even" r:id="rId27"/>
      <w:footerReference w:type="default" r:id="rId28"/>
      <w:headerReference w:type="first" r:id="rId29"/>
      <w:footerReference w:type="first" r:id="rId3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D5ED" w14:textId="77777777" w:rsidR="002514EB" w:rsidRDefault="002514EB" w:rsidP="002E6113">
      <w:r>
        <w:separator/>
      </w:r>
    </w:p>
  </w:endnote>
  <w:endnote w:type="continuationSeparator" w:id="0">
    <w:p w14:paraId="45E4BC3D" w14:textId="77777777" w:rsidR="002514EB" w:rsidRDefault="002514EB" w:rsidP="002E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1174" w14:textId="7A0A7A42" w:rsidR="0037135F" w:rsidRDefault="0037135F" w:rsidP="00F75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F68">
      <w:rPr>
        <w:rStyle w:val="PageNumber"/>
        <w:noProof/>
      </w:rPr>
      <w:t>6</w:t>
    </w:r>
    <w:r>
      <w:rPr>
        <w:rStyle w:val="PageNumber"/>
      </w:rPr>
      <w:fldChar w:fldCharType="end"/>
    </w:r>
  </w:p>
  <w:p w14:paraId="0740428C" w14:textId="77777777" w:rsidR="0037135F" w:rsidRDefault="0037135F" w:rsidP="00F75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05716967"/>
      <w:docPartObj>
        <w:docPartGallery w:val="Page Numbers (Bottom of Page)"/>
        <w:docPartUnique/>
      </w:docPartObj>
    </w:sdtPr>
    <w:sdtEndPr>
      <w:rPr>
        <w:noProof/>
        <w:sz w:val="24"/>
        <w:szCs w:val="20"/>
      </w:rPr>
    </w:sdtEndPr>
    <w:sdtContent>
      <w:p w14:paraId="54131709" w14:textId="77777777" w:rsidR="0037135F" w:rsidRPr="00D05613" w:rsidRDefault="0037135F" w:rsidP="00F75458">
        <w:pPr>
          <w:pStyle w:val="Footer"/>
          <w:jc w:val="left"/>
          <w:rPr>
            <w:sz w:val="16"/>
            <w:szCs w:val="16"/>
          </w:rPr>
        </w:pPr>
        <w:r w:rsidRPr="00D05613">
          <w:rPr>
            <w:sz w:val="16"/>
            <w:szCs w:val="16"/>
          </w:rPr>
          <w:t>SERVICE SPECIFICATION</w:t>
        </w:r>
      </w:p>
      <w:p w14:paraId="7B67A87B" w14:textId="58EBFC0A" w:rsidR="0037135F" w:rsidRDefault="00C27F68" w:rsidP="006C65EB">
        <w:pPr>
          <w:ind w:right="360"/>
          <w:jc w:val="left"/>
        </w:pPr>
        <w:r>
          <w:rPr>
            <w:sz w:val="16"/>
            <w:szCs w:val="16"/>
          </w:rPr>
          <w:t>Vitamin D in Community Pharmacy – Winter 2023</w:t>
        </w:r>
        <w:r w:rsidR="006C65EB">
          <w:rPr>
            <w:sz w:val="16"/>
            <w:szCs w:val="16"/>
          </w:rPr>
          <w:tab/>
        </w:r>
        <w:r w:rsidR="006C65EB">
          <w:rPr>
            <w:sz w:val="16"/>
            <w:szCs w:val="16"/>
          </w:rPr>
          <w:tab/>
        </w:r>
        <w:r w:rsidR="006C65EB">
          <w:rPr>
            <w:sz w:val="16"/>
            <w:szCs w:val="16"/>
          </w:rPr>
          <w:tab/>
        </w:r>
        <w:r w:rsidR="006C65EB">
          <w:rPr>
            <w:sz w:val="16"/>
            <w:szCs w:val="16"/>
          </w:rPr>
          <w:tab/>
        </w:r>
        <w:r w:rsidR="006C65EB">
          <w:rPr>
            <w:sz w:val="16"/>
            <w:szCs w:val="16"/>
          </w:rPr>
          <w:tab/>
        </w:r>
        <w:r w:rsidR="006C65EB">
          <w:rPr>
            <w:sz w:val="16"/>
            <w:szCs w:val="16"/>
          </w:rPr>
          <w:tab/>
        </w:r>
        <w:r w:rsidR="0037135F">
          <w:rPr>
            <w:sz w:val="16"/>
            <w:szCs w:val="16"/>
          </w:rPr>
          <w:tab/>
        </w:r>
        <w:r w:rsidR="0037135F">
          <w:rPr>
            <w:sz w:val="16"/>
            <w:szCs w:val="16"/>
          </w:rPr>
          <w:tab/>
        </w:r>
        <w:r w:rsidR="0037135F">
          <w:rPr>
            <w:sz w:val="16"/>
            <w:szCs w:val="16"/>
          </w:rPr>
          <w:tab/>
        </w:r>
        <w:r w:rsidR="0037135F" w:rsidRPr="00D05613">
          <w:rPr>
            <w:sz w:val="16"/>
            <w:szCs w:val="16"/>
          </w:rPr>
          <w:fldChar w:fldCharType="begin"/>
        </w:r>
        <w:r w:rsidR="0037135F" w:rsidRPr="00D05613">
          <w:rPr>
            <w:sz w:val="16"/>
            <w:szCs w:val="16"/>
          </w:rPr>
          <w:instrText xml:space="preserve"> PAGE   \* MERGEFORMAT </w:instrText>
        </w:r>
        <w:r w:rsidR="0037135F" w:rsidRPr="00D05613">
          <w:rPr>
            <w:sz w:val="16"/>
            <w:szCs w:val="16"/>
          </w:rPr>
          <w:fldChar w:fldCharType="separate"/>
        </w:r>
        <w:r w:rsidR="003F5642">
          <w:rPr>
            <w:noProof/>
            <w:sz w:val="16"/>
            <w:szCs w:val="16"/>
          </w:rPr>
          <w:t>12</w:t>
        </w:r>
        <w:r w:rsidR="0037135F" w:rsidRPr="00D05613">
          <w:rPr>
            <w:noProof/>
            <w:sz w:val="16"/>
            <w:szCs w:val="16"/>
          </w:rPr>
          <w:fldChar w:fldCharType="end"/>
        </w:r>
      </w:p>
    </w:sdtContent>
  </w:sdt>
  <w:p w14:paraId="52B76C52" w14:textId="77777777" w:rsidR="0037135F" w:rsidRPr="00125D41" w:rsidRDefault="0037135F" w:rsidP="00F75458">
    <w:pP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436E" w14:textId="77777777" w:rsidR="0037135F" w:rsidRPr="00421CB5" w:rsidRDefault="0037135F" w:rsidP="00F75458">
    <w:pPr>
      <w:ind w:right="360"/>
      <w:jc w:val="left"/>
      <w:rPr>
        <w:rStyle w:val="PageNumber"/>
        <w:b/>
        <w:sz w:val="16"/>
        <w:szCs w:val="16"/>
      </w:rPr>
    </w:pPr>
    <w:r>
      <w:rPr>
        <w:rStyle w:val="PageNumber"/>
        <w:b/>
        <w:sz w:val="16"/>
        <w:szCs w:val="16"/>
      </w:rPr>
      <w:t xml:space="preserve">FINAL </w:t>
    </w:r>
    <w:r w:rsidRPr="00421CB5">
      <w:rPr>
        <w:rStyle w:val="PageNumber"/>
        <w:b/>
        <w:sz w:val="16"/>
        <w:szCs w:val="16"/>
      </w:rPr>
      <w:t>–</w:t>
    </w:r>
    <w:r>
      <w:rPr>
        <w:rStyle w:val="PageNumber"/>
        <w:b/>
        <w:sz w:val="16"/>
        <w:szCs w:val="16"/>
      </w:rPr>
      <w:t xml:space="preserve"> </w:t>
    </w:r>
    <w:r w:rsidRPr="00421CB5">
      <w:rPr>
        <w:rStyle w:val="PageNumber"/>
        <w:b/>
        <w:sz w:val="16"/>
        <w:szCs w:val="16"/>
      </w:rPr>
      <w:t>PUBLIC HEALTH SERVICES CONTRACT</w:t>
    </w:r>
  </w:p>
  <w:p w14:paraId="4541A648" w14:textId="77777777" w:rsidR="0037135F" w:rsidRPr="00421CB5" w:rsidRDefault="0037135F" w:rsidP="00F75458">
    <w:pPr>
      <w:jc w:val="left"/>
      <w:rPr>
        <w:b/>
        <w:sz w:val="16"/>
        <w:szCs w:val="16"/>
      </w:rPr>
    </w:pPr>
    <w:r w:rsidRPr="00421CB5">
      <w:rPr>
        <w:rStyle w:val="PageNumber"/>
        <w:b/>
        <w:sz w:val="16"/>
        <w:szCs w:val="16"/>
      </w:rPr>
      <w:t xml:space="preserve">GATEWAY REFERENCE: </w:t>
    </w:r>
    <w:r>
      <w:rPr>
        <w:rStyle w:val="PageNumber"/>
        <w:b/>
        <w:sz w:val="16"/>
        <w:szCs w:val="16"/>
      </w:rPr>
      <w:t>18533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2742" w14:textId="77777777" w:rsidR="0037135F" w:rsidRDefault="0037135F" w:rsidP="002E61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70729" w14:textId="77777777" w:rsidR="0037135F" w:rsidRDefault="0037135F" w:rsidP="002E6113">
    <w:pPr>
      <w:pStyle w:val="Footer"/>
      <w:ind w:right="360"/>
    </w:pPr>
  </w:p>
  <w:p w14:paraId="77BA9738" w14:textId="77777777" w:rsidR="0037135F" w:rsidRDefault="003713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459190"/>
      <w:docPartObj>
        <w:docPartGallery w:val="Page Numbers (Bottom of Page)"/>
        <w:docPartUnique/>
      </w:docPartObj>
    </w:sdtPr>
    <w:sdtEndPr>
      <w:rPr>
        <w:noProof/>
      </w:rPr>
    </w:sdtEndPr>
    <w:sdtContent>
      <w:p w14:paraId="07C3D1C0" w14:textId="2315E222" w:rsidR="0037135F" w:rsidRDefault="0037135F">
        <w:pPr>
          <w:pStyle w:val="Footer"/>
          <w:jc w:val="right"/>
        </w:pPr>
        <w:r w:rsidRPr="00D3764B">
          <w:rPr>
            <w:sz w:val="20"/>
          </w:rPr>
          <w:fldChar w:fldCharType="begin"/>
        </w:r>
        <w:r w:rsidRPr="00D3764B">
          <w:rPr>
            <w:sz w:val="20"/>
          </w:rPr>
          <w:instrText xml:space="preserve"> PAGE   \* MERGEFORMAT </w:instrText>
        </w:r>
        <w:r w:rsidRPr="00D3764B">
          <w:rPr>
            <w:sz w:val="20"/>
          </w:rPr>
          <w:fldChar w:fldCharType="separate"/>
        </w:r>
        <w:r w:rsidR="003F5642">
          <w:rPr>
            <w:noProof/>
            <w:sz w:val="20"/>
          </w:rPr>
          <w:t>14</w:t>
        </w:r>
        <w:r w:rsidRPr="00D3764B">
          <w:rPr>
            <w:noProof/>
            <w:sz w:val="20"/>
          </w:rPr>
          <w:fldChar w:fldCharType="end"/>
        </w:r>
      </w:p>
    </w:sdtContent>
  </w:sdt>
  <w:p w14:paraId="7E527A87" w14:textId="77777777" w:rsidR="0037135F" w:rsidRDefault="0037135F">
    <w:r w:rsidRPr="005D48CD">
      <w:rPr>
        <w:sz w:val="16"/>
        <w:szCs w:val="16"/>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0244" w14:textId="77777777" w:rsidR="0037135F" w:rsidRPr="00421CB5" w:rsidRDefault="0037135F" w:rsidP="002E6113">
    <w:pPr>
      <w:ind w:right="360"/>
      <w:jc w:val="left"/>
      <w:rPr>
        <w:rStyle w:val="PageNumber"/>
        <w:b/>
        <w:sz w:val="16"/>
        <w:szCs w:val="16"/>
      </w:rPr>
    </w:pPr>
    <w:r>
      <w:rPr>
        <w:rStyle w:val="PageNumber"/>
        <w:b/>
        <w:sz w:val="16"/>
        <w:szCs w:val="16"/>
      </w:rPr>
      <w:t xml:space="preserve">FINAL </w:t>
    </w:r>
    <w:r w:rsidRPr="00421CB5">
      <w:rPr>
        <w:rStyle w:val="PageNumber"/>
        <w:b/>
        <w:sz w:val="16"/>
        <w:szCs w:val="16"/>
      </w:rPr>
      <w:t>–</w:t>
    </w:r>
    <w:r>
      <w:rPr>
        <w:rStyle w:val="PageNumber"/>
        <w:b/>
        <w:sz w:val="16"/>
        <w:szCs w:val="16"/>
      </w:rPr>
      <w:t xml:space="preserve"> </w:t>
    </w:r>
    <w:r w:rsidRPr="00421CB5">
      <w:rPr>
        <w:rStyle w:val="PageNumber"/>
        <w:b/>
        <w:sz w:val="16"/>
        <w:szCs w:val="16"/>
      </w:rPr>
      <w:t>PUBLIC HEALTH SERVICES CONTRACT</w:t>
    </w:r>
  </w:p>
  <w:p w14:paraId="03C7D0C2" w14:textId="77777777" w:rsidR="0037135F" w:rsidRPr="00421CB5" w:rsidRDefault="0037135F" w:rsidP="002E6113">
    <w:pPr>
      <w:jc w:val="left"/>
      <w:rPr>
        <w:b/>
        <w:sz w:val="16"/>
        <w:szCs w:val="16"/>
      </w:rPr>
    </w:pPr>
    <w:r w:rsidRPr="00421CB5">
      <w:rPr>
        <w:rStyle w:val="PageNumber"/>
        <w:b/>
        <w:sz w:val="16"/>
        <w:szCs w:val="16"/>
      </w:rPr>
      <w:t xml:space="preserve">GATEWAY REFERENCE: </w:t>
    </w:r>
    <w:r>
      <w:rPr>
        <w:rStyle w:val="PageNumber"/>
        <w:b/>
        <w:sz w:val="16"/>
        <w:szCs w:val="16"/>
      </w:rPr>
      <w:t>18533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1DDC6" w14:textId="77777777" w:rsidR="002514EB" w:rsidRDefault="002514EB" w:rsidP="002E6113">
      <w:r>
        <w:separator/>
      </w:r>
    </w:p>
  </w:footnote>
  <w:footnote w:type="continuationSeparator" w:id="0">
    <w:p w14:paraId="5B4CBC3D" w14:textId="77777777" w:rsidR="002514EB" w:rsidRDefault="002514EB" w:rsidP="002E6113">
      <w:r>
        <w:continuationSeparator/>
      </w:r>
    </w:p>
  </w:footnote>
  <w:footnote w:id="1">
    <w:p w14:paraId="23B65774" w14:textId="77777777" w:rsidR="00CD25EA" w:rsidRPr="00EE4580" w:rsidRDefault="00CD25EA" w:rsidP="00CD25EA">
      <w:pPr>
        <w:pStyle w:val="FootnoteText"/>
        <w:jc w:val="both"/>
        <w:rPr>
          <w:sz w:val="16"/>
          <w:szCs w:val="16"/>
        </w:rPr>
      </w:pPr>
      <w:r w:rsidRPr="00EE4580">
        <w:rPr>
          <w:rStyle w:val="FootnoteReference"/>
          <w:sz w:val="16"/>
          <w:szCs w:val="16"/>
        </w:rPr>
        <w:footnoteRef/>
      </w:r>
      <w:r w:rsidRPr="00EE4580">
        <w:rPr>
          <w:sz w:val="16"/>
          <w:szCs w:val="16"/>
        </w:rPr>
        <w:t xml:space="preserve"> These </w:t>
      </w:r>
      <w:r>
        <w:rPr>
          <w:sz w:val="16"/>
          <w:szCs w:val="16"/>
        </w:rPr>
        <w:t>are suggested in</w:t>
      </w:r>
      <w:r w:rsidRPr="00EE4580">
        <w:rPr>
          <w:sz w:val="16"/>
          <w:szCs w:val="16"/>
        </w:rPr>
        <w:t>dicators</w:t>
      </w:r>
      <w:r>
        <w:rPr>
          <w:sz w:val="16"/>
          <w:szCs w:val="16"/>
        </w:rPr>
        <w:t xml:space="preserve"> based on evidence of good practice and national standards and guidance. Their inclusion is for local determination.</w:t>
      </w:r>
    </w:p>
    <w:p w14:paraId="2545B557" w14:textId="77777777" w:rsidR="00CD25EA" w:rsidRDefault="00CD25EA" w:rsidP="00CD25EA">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6825" w14:textId="77777777" w:rsidR="0037135F" w:rsidRDefault="0037135F"/>
  <w:p w14:paraId="59B8469B" w14:textId="77777777" w:rsidR="0037135F" w:rsidRDefault="003713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E944" w14:textId="77777777" w:rsidR="0037135F" w:rsidRDefault="0037135F" w:rsidP="00F75458">
    <w:pPr>
      <w:pStyle w:val="Header"/>
      <w:jc w:val="center"/>
      <w:rPr>
        <w:b/>
        <w:bCs/>
        <w:sz w:val="20"/>
      </w:rPr>
    </w:pPr>
    <w:r w:rsidRPr="001E478B">
      <w:rPr>
        <w:b/>
        <w:bCs/>
        <w:sz w:val="20"/>
      </w:rPr>
      <w:t>2</w:t>
    </w:r>
    <w:r>
      <w:rPr>
        <w:b/>
        <w:bCs/>
        <w:sz w:val="20"/>
      </w:rPr>
      <w:t>013/14</w:t>
    </w:r>
  </w:p>
  <w:p w14:paraId="75418D39" w14:textId="77777777" w:rsidR="0037135F" w:rsidRDefault="0037135F" w:rsidP="00F75458">
    <w:pPr>
      <w:pStyle w:val="Header"/>
      <w:jc w:val="center"/>
      <w:rPr>
        <w:b/>
        <w:bCs/>
        <w:sz w:val="20"/>
      </w:rPr>
    </w:pPr>
    <w:r w:rsidRPr="001E478B">
      <w:rPr>
        <w:b/>
        <w:bCs/>
        <w:sz w:val="20"/>
      </w:rPr>
      <w:t xml:space="preserve"> PUBLIC HEALTH SERVICES CONTRACT</w:t>
    </w:r>
  </w:p>
  <w:p w14:paraId="6ED3B466" w14:textId="77777777" w:rsidR="0037135F" w:rsidRPr="00537514" w:rsidRDefault="0037135F" w:rsidP="00F75458">
    <w:pPr>
      <w:pStyle w:val="Header"/>
      <w:jc w:val="center"/>
      <w:rPr>
        <w:b/>
        <w:bCs/>
        <w:sz w:val="10"/>
        <w:szCs w:val="10"/>
      </w:rPr>
    </w:pPr>
  </w:p>
  <w:p w14:paraId="4ABC8E16" w14:textId="77777777" w:rsidR="0037135F" w:rsidRPr="001E478B" w:rsidRDefault="0037135F" w:rsidP="00F75458">
    <w:pPr>
      <w:pStyle w:val="Header"/>
      <w:jc w:val="center"/>
      <w:rPr>
        <w:b/>
        <w:bCs/>
        <w:sz w:val="20"/>
      </w:rPr>
    </w:pPr>
    <w:r>
      <w:rPr>
        <w:b/>
        <w:bCs/>
        <w:sz w:val="20"/>
      </w:rPr>
      <w:t>DRAFT INTEGRATED SEXUAL HEALTH SERVICES V7</w:t>
    </w:r>
  </w:p>
  <w:p w14:paraId="3EA3C486" w14:textId="77777777" w:rsidR="0037135F" w:rsidRPr="00673DC5" w:rsidRDefault="0037135F" w:rsidP="00F75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9658" w14:textId="77777777" w:rsidR="0037135F" w:rsidRDefault="0037135F"/>
  <w:p w14:paraId="697D81F7" w14:textId="77777777" w:rsidR="0037135F" w:rsidRDefault="0037135F"/>
  <w:p w14:paraId="0EEFC2F7" w14:textId="77777777" w:rsidR="0037135F" w:rsidRDefault="003713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BADB" w14:textId="77777777" w:rsidR="0037135F" w:rsidRDefault="0037135F" w:rsidP="002E6113">
    <w:pPr>
      <w:pStyle w:val="Header"/>
      <w:jc w:val="center"/>
      <w:rPr>
        <w:b/>
        <w:bCs/>
        <w:sz w:val="20"/>
      </w:rPr>
    </w:pPr>
    <w:r w:rsidRPr="001E478B">
      <w:rPr>
        <w:b/>
        <w:bCs/>
        <w:sz w:val="20"/>
      </w:rPr>
      <w:t>2</w:t>
    </w:r>
    <w:r>
      <w:rPr>
        <w:b/>
        <w:bCs/>
        <w:sz w:val="20"/>
      </w:rPr>
      <w:t>013/14</w:t>
    </w:r>
  </w:p>
  <w:p w14:paraId="2540518E" w14:textId="77777777" w:rsidR="0037135F" w:rsidRDefault="0037135F" w:rsidP="002E6113">
    <w:pPr>
      <w:pStyle w:val="Header"/>
      <w:jc w:val="center"/>
      <w:rPr>
        <w:b/>
        <w:bCs/>
        <w:sz w:val="20"/>
      </w:rPr>
    </w:pPr>
    <w:r w:rsidRPr="001E478B">
      <w:rPr>
        <w:b/>
        <w:bCs/>
        <w:sz w:val="20"/>
      </w:rPr>
      <w:t xml:space="preserve"> PUBLIC HEALTH SERVICES CONTRACT</w:t>
    </w:r>
  </w:p>
  <w:p w14:paraId="2F8580F0" w14:textId="77777777" w:rsidR="0037135F" w:rsidRPr="00537514" w:rsidRDefault="0037135F" w:rsidP="002E6113">
    <w:pPr>
      <w:pStyle w:val="Header"/>
      <w:jc w:val="center"/>
      <w:rPr>
        <w:b/>
        <w:bCs/>
        <w:sz w:val="10"/>
        <w:szCs w:val="10"/>
      </w:rPr>
    </w:pPr>
  </w:p>
  <w:p w14:paraId="2FB0548D" w14:textId="77777777" w:rsidR="0037135F" w:rsidRPr="001E478B" w:rsidRDefault="0037135F" w:rsidP="002E6113">
    <w:pPr>
      <w:pStyle w:val="Header"/>
      <w:jc w:val="center"/>
      <w:rPr>
        <w:b/>
        <w:bCs/>
        <w:sz w:val="20"/>
      </w:rPr>
    </w:pPr>
    <w:r>
      <w:rPr>
        <w:b/>
        <w:bCs/>
        <w:sz w:val="20"/>
      </w:rPr>
      <w:t>DRAFT INTEGRATED SEXUAL HEALTH SERVICES V7</w:t>
    </w:r>
  </w:p>
  <w:p w14:paraId="1AA86524" w14:textId="77777777" w:rsidR="0037135F" w:rsidRPr="00673DC5" w:rsidRDefault="0037135F" w:rsidP="002E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311"/>
    <w:multiLevelType w:val="multilevel"/>
    <w:tmpl w:val="AEF8F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521A4"/>
    <w:multiLevelType w:val="hybridMultilevel"/>
    <w:tmpl w:val="BC906C94"/>
    <w:lvl w:ilvl="0" w:tplc="65DC1788">
      <w:start w:val="1"/>
      <w:numFmt w:val="bullet"/>
      <w:lvlText w:val=""/>
      <w:lvlJc w:val="left"/>
      <w:pPr>
        <w:tabs>
          <w:tab w:val="num" w:pos="460"/>
        </w:tabs>
        <w:ind w:left="460" w:hanging="284"/>
      </w:pPr>
      <w:rPr>
        <w:rFonts w:ascii="Wingdings" w:hAnsi="Wingdings"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0CBE1819"/>
    <w:multiLevelType w:val="hybridMultilevel"/>
    <w:tmpl w:val="5A0E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015B7"/>
    <w:multiLevelType w:val="multilevel"/>
    <w:tmpl w:val="A2983366"/>
    <w:lvl w:ilvl="0">
      <w:start w:val="3"/>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i w:val="0"/>
        <w:color w:val="auto"/>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1B74B3"/>
    <w:multiLevelType w:val="hybridMultilevel"/>
    <w:tmpl w:val="A4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745D3"/>
    <w:multiLevelType w:val="multilevel"/>
    <w:tmpl w:val="3168BF7A"/>
    <w:lvl w:ilvl="0">
      <w:start w:val="3"/>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val="0"/>
        <w:i w:val="0"/>
        <w:color w:val="auto"/>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E774A6"/>
    <w:multiLevelType w:val="multilevel"/>
    <w:tmpl w:val="8DF0B58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3D3417"/>
    <w:multiLevelType w:val="hybridMultilevel"/>
    <w:tmpl w:val="1BA27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B33EF2"/>
    <w:multiLevelType w:val="hybridMultilevel"/>
    <w:tmpl w:val="C0F28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111B7"/>
    <w:multiLevelType w:val="hybridMultilevel"/>
    <w:tmpl w:val="7500074E"/>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3CF24E6B"/>
    <w:multiLevelType w:val="multilevel"/>
    <w:tmpl w:val="81F8976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0961B9"/>
    <w:multiLevelType w:val="multilevel"/>
    <w:tmpl w:val="904AD0F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0C12D8"/>
    <w:multiLevelType w:val="multilevel"/>
    <w:tmpl w:val="550AC09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725479"/>
    <w:multiLevelType w:val="hybridMultilevel"/>
    <w:tmpl w:val="F4A6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60410"/>
    <w:multiLevelType w:val="multilevel"/>
    <w:tmpl w:val="AF7004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843F5B"/>
    <w:multiLevelType w:val="multilevel"/>
    <w:tmpl w:val="8BC8FA74"/>
    <w:lvl w:ilvl="0">
      <w:start w:val="2"/>
      <w:numFmt w:val="decimal"/>
      <w:lvlText w:val="%1"/>
      <w:lvlJc w:val="left"/>
      <w:pPr>
        <w:ind w:left="435" w:hanging="435"/>
      </w:pPr>
      <w:rPr>
        <w:rFonts w:hint="default"/>
      </w:rPr>
    </w:lvl>
    <w:lvl w:ilvl="1">
      <w:start w:val="1"/>
      <w:numFmt w:val="bullet"/>
      <w:lvlText w:val=""/>
      <w:lvlJc w:val="left"/>
      <w:pPr>
        <w:ind w:left="435" w:hanging="43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9B35BF"/>
    <w:multiLevelType w:val="hybridMultilevel"/>
    <w:tmpl w:val="5D44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521D6"/>
    <w:multiLevelType w:val="multilevel"/>
    <w:tmpl w:val="A6AEDC3C"/>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E5120C"/>
    <w:multiLevelType w:val="hybridMultilevel"/>
    <w:tmpl w:val="0E486638"/>
    <w:lvl w:ilvl="0" w:tplc="08090001">
      <w:start w:val="1"/>
      <w:numFmt w:val="bullet"/>
      <w:lvlText w:val=""/>
      <w:lvlJc w:val="left"/>
      <w:pPr>
        <w:tabs>
          <w:tab w:val="num" w:pos="1512"/>
        </w:tabs>
        <w:ind w:left="1512" w:hanging="360"/>
      </w:pPr>
      <w:rPr>
        <w:rFonts w:ascii="Symbol" w:hAnsi="Symbol" w:hint="default"/>
      </w:rPr>
    </w:lvl>
    <w:lvl w:ilvl="1" w:tplc="08090003">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num w:numId="1" w16cid:durableId="541941422">
    <w:abstractNumId w:val="14"/>
  </w:num>
  <w:num w:numId="2" w16cid:durableId="344870808">
    <w:abstractNumId w:val="5"/>
  </w:num>
  <w:num w:numId="3" w16cid:durableId="215775148">
    <w:abstractNumId w:val="0"/>
  </w:num>
  <w:num w:numId="4" w16cid:durableId="1642880635">
    <w:abstractNumId w:val="10"/>
  </w:num>
  <w:num w:numId="5" w16cid:durableId="2071689324">
    <w:abstractNumId w:val="3"/>
  </w:num>
  <w:num w:numId="6" w16cid:durableId="808089283">
    <w:abstractNumId w:val="18"/>
  </w:num>
  <w:num w:numId="7" w16cid:durableId="1690793587">
    <w:abstractNumId w:val="17"/>
  </w:num>
  <w:num w:numId="8" w16cid:durableId="1759403418">
    <w:abstractNumId w:val="11"/>
  </w:num>
  <w:num w:numId="9" w16cid:durableId="813255765">
    <w:abstractNumId w:val="12"/>
  </w:num>
  <w:num w:numId="10" w16cid:durableId="1533768665">
    <w:abstractNumId w:val="15"/>
  </w:num>
  <w:num w:numId="11" w16cid:durableId="521285015">
    <w:abstractNumId w:val="6"/>
  </w:num>
  <w:num w:numId="12" w16cid:durableId="107818221">
    <w:abstractNumId w:val="1"/>
  </w:num>
  <w:num w:numId="13" w16cid:durableId="1537500224">
    <w:abstractNumId w:val="7"/>
  </w:num>
  <w:num w:numId="14" w16cid:durableId="1656647053">
    <w:abstractNumId w:val="2"/>
  </w:num>
  <w:num w:numId="15" w16cid:durableId="110905518">
    <w:abstractNumId w:val="16"/>
  </w:num>
  <w:num w:numId="16" w16cid:durableId="488981298">
    <w:abstractNumId w:val="8"/>
  </w:num>
  <w:num w:numId="17" w16cid:durableId="82997275">
    <w:abstractNumId w:val="9"/>
  </w:num>
  <w:num w:numId="18" w16cid:durableId="425931678">
    <w:abstractNumId w:val="13"/>
  </w:num>
  <w:num w:numId="19" w16cid:durableId="142927645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15"/>
    <w:rsid w:val="0000272F"/>
    <w:rsid w:val="0000596F"/>
    <w:rsid w:val="0001498A"/>
    <w:rsid w:val="00021196"/>
    <w:rsid w:val="000223DB"/>
    <w:rsid w:val="00023461"/>
    <w:rsid w:val="00023978"/>
    <w:rsid w:val="00024A44"/>
    <w:rsid w:val="00024B01"/>
    <w:rsid w:val="00033741"/>
    <w:rsid w:val="00040BDB"/>
    <w:rsid w:val="00046E13"/>
    <w:rsid w:val="00060D37"/>
    <w:rsid w:val="000632AB"/>
    <w:rsid w:val="0007069D"/>
    <w:rsid w:val="00082F8F"/>
    <w:rsid w:val="00090255"/>
    <w:rsid w:val="00097627"/>
    <w:rsid w:val="000A1A1A"/>
    <w:rsid w:val="000A2851"/>
    <w:rsid w:val="000A5D68"/>
    <w:rsid w:val="000A6098"/>
    <w:rsid w:val="000B1324"/>
    <w:rsid w:val="000B6CBC"/>
    <w:rsid w:val="000C4984"/>
    <w:rsid w:val="000C6E57"/>
    <w:rsid w:val="000E464D"/>
    <w:rsid w:val="0010214B"/>
    <w:rsid w:val="0010441B"/>
    <w:rsid w:val="001071D9"/>
    <w:rsid w:val="00110423"/>
    <w:rsid w:val="00111CED"/>
    <w:rsid w:val="0011223C"/>
    <w:rsid w:val="00125535"/>
    <w:rsid w:val="0013491C"/>
    <w:rsid w:val="00141B96"/>
    <w:rsid w:val="00141CE4"/>
    <w:rsid w:val="0014248C"/>
    <w:rsid w:val="00143945"/>
    <w:rsid w:val="00151F1E"/>
    <w:rsid w:val="00154AE6"/>
    <w:rsid w:val="00154B72"/>
    <w:rsid w:val="00156493"/>
    <w:rsid w:val="001603FC"/>
    <w:rsid w:val="00167BCA"/>
    <w:rsid w:val="00177F15"/>
    <w:rsid w:val="00180633"/>
    <w:rsid w:val="0018098F"/>
    <w:rsid w:val="001935C6"/>
    <w:rsid w:val="00193974"/>
    <w:rsid w:val="001B2433"/>
    <w:rsid w:val="001C6756"/>
    <w:rsid w:val="001E766D"/>
    <w:rsid w:val="001F6759"/>
    <w:rsid w:val="001F6BC5"/>
    <w:rsid w:val="002001D4"/>
    <w:rsid w:val="00203F2D"/>
    <w:rsid w:val="002308BE"/>
    <w:rsid w:val="00233F9E"/>
    <w:rsid w:val="0023652A"/>
    <w:rsid w:val="00243780"/>
    <w:rsid w:val="002451EE"/>
    <w:rsid w:val="002454A0"/>
    <w:rsid w:val="002514EB"/>
    <w:rsid w:val="002660E0"/>
    <w:rsid w:val="00271A38"/>
    <w:rsid w:val="00273B4C"/>
    <w:rsid w:val="00281EC4"/>
    <w:rsid w:val="00291037"/>
    <w:rsid w:val="00291771"/>
    <w:rsid w:val="00293C79"/>
    <w:rsid w:val="0029512E"/>
    <w:rsid w:val="002A5DCD"/>
    <w:rsid w:val="002B40EA"/>
    <w:rsid w:val="002B719E"/>
    <w:rsid w:val="002C5360"/>
    <w:rsid w:val="002C631A"/>
    <w:rsid w:val="002D2E2F"/>
    <w:rsid w:val="002D4D59"/>
    <w:rsid w:val="002E0448"/>
    <w:rsid w:val="002E1DC3"/>
    <w:rsid w:val="002E6113"/>
    <w:rsid w:val="002E61F7"/>
    <w:rsid w:val="002F0A01"/>
    <w:rsid w:val="002F5BE4"/>
    <w:rsid w:val="00303312"/>
    <w:rsid w:val="00303587"/>
    <w:rsid w:val="00304327"/>
    <w:rsid w:val="00315D7D"/>
    <w:rsid w:val="00322228"/>
    <w:rsid w:val="00324D08"/>
    <w:rsid w:val="0032652B"/>
    <w:rsid w:val="003307F0"/>
    <w:rsid w:val="00363F57"/>
    <w:rsid w:val="00365655"/>
    <w:rsid w:val="0037135F"/>
    <w:rsid w:val="00372026"/>
    <w:rsid w:val="0037645C"/>
    <w:rsid w:val="00383029"/>
    <w:rsid w:val="00384749"/>
    <w:rsid w:val="00384D7F"/>
    <w:rsid w:val="00385FC6"/>
    <w:rsid w:val="00386196"/>
    <w:rsid w:val="003871D2"/>
    <w:rsid w:val="00391E8A"/>
    <w:rsid w:val="003976EA"/>
    <w:rsid w:val="00397ACA"/>
    <w:rsid w:val="00397E8A"/>
    <w:rsid w:val="003A59EE"/>
    <w:rsid w:val="003A7C36"/>
    <w:rsid w:val="003B2825"/>
    <w:rsid w:val="003B4312"/>
    <w:rsid w:val="003B6A44"/>
    <w:rsid w:val="003C1C45"/>
    <w:rsid w:val="003D092A"/>
    <w:rsid w:val="003D69C7"/>
    <w:rsid w:val="003D743A"/>
    <w:rsid w:val="003E608E"/>
    <w:rsid w:val="003F5642"/>
    <w:rsid w:val="0040014B"/>
    <w:rsid w:val="00410EBD"/>
    <w:rsid w:val="00412A60"/>
    <w:rsid w:val="00425B7F"/>
    <w:rsid w:val="00426890"/>
    <w:rsid w:val="0043070A"/>
    <w:rsid w:val="00434B73"/>
    <w:rsid w:val="0043712D"/>
    <w:rsid w:val="0043729D"/>
    <w:rsid w:val="004374B3"/>
    <w:rsid w:val="00445455"/>
    <w:rsid w:val="004518D5"/>
    <w:rsid w:val="0045555F"/>
    <w:rsid w:val="00457AD5"/>
    <w:rsid w:val="00460192"/>
    <w:rsid w:val="00467A63"/>
    <w:rsid w:val="00470363"/>
    <w:rsid w:val="00475068"/>
    <w:rsid w:val="00480B38"/>
    <w:rsid w:val="00480C5E"/>
    <w:rsid w:val="004A2D86"/>
    <w:rsid w:val="004A71D9"/>
    <w:rsid w:val="004C1123"/>
    <w:rsid w:val="004D22C6"/>
    <w:rsid w:val="004D258C"/>
    <w:rsid w:val="004D585C"/>
    <w:rsid w:val="004E0EA9"/>
    <w:rsid w:val="004E3F30"/>
    <w:rsid w:val="004E598C"/>
    <w:rsid w:val="004F49B2"/>
    <w:rsid w:val="00500011"/>
    <w:rsid w:val="00502D78"/>
    <w:rsid w:val="00514CE2"/>
    <w:rsid w:val="00520CB4"/>
    <w:rsid w:val="00523BD7"/>
    <w:rsid w:val="00523E15"/>
    <w:rsid w:val="00525A24"/>
    <w:rsid w:val="005268E7"/>
    <w:rsid w:val="005355F1"/>
    <w:rsid w:val="00561D27"/>
    <w:rsid w:val="00573E2A"/>
    <w:rsid w:val="00573E57"/>
    <w:rsid w:val="00574DEB"/>
    <w:rsid w:val="00583A30"/>
    <w:rsid w:val="005843B8"/>
    <w:rsid w:val="005B15A2"/>
    <w:rsid w:val="005C3B7B"/>
    <w:rsid w:val="005D066F"/>
    <w:rsid w:val="005D1EDA"/>
    <w:rsid w:val="005D569C"/>
    <w:rsid w:val="005E5B1C"/>
    <w:rsid w:val="005F5EFF"/>
    <w:rsid w:val="00605215"/>
    <w:rsid w:val="006105B0"/>
    <w:rsid w:val="00616833"/>
    <w:rsid w:val="006168F4"/>
    <w:rsid w:val="0063602B"/>
    <w:rsid w:val="00642643"/>
    <w:rsid w:val="006449BF"/>
    <w:rsid w:val="0065051F"/>
    <w:rsid w:val="00654B11"/>
    <w:rsid w:val="00662D76"/>
    <w:rsid w:val="006666E6"/>
    <w:rsid w:val="006718B0"/>
    <w:rsid w:val="00676C1E"/>
    <w:rsid w:val="00683D5E"/>
    <w:rsid w:val="00685917"/>
    <w:rsid w:val="006876C1"/>
    <w:rsid w:val="00694BB0"/>
    <w:rsid w:val="006975F4"/>
    <w:rsid w:val="006A2AF5"/>
    <w:rsid w:val="006A43A9"/>
    <w:rsid w:val="006B3EAD"/>
    <w:rsid w:val="006B66B0"/>
    <w:rsid w:val="006C1A8F"/>
    <w:rsid w:val="006C65EB"/>
    <w:rsid w:val="006D09FA"/>
    <w:rsid w:val="006D12D9"/>
    <w:rsid w:val="006D37FB"/>
    <w:rsid w:val="006D7ABE"/>
    <w:rsid w:val="006D7C04"/>
    <w:rsid w:val="006E41B6"/>
    <w:rsid w:val="006F390B"/>
    <w:rsid w:val="007018B0"/>
    <w:rsid w:val="00703A2C"/>
    <w:rsid w:val="00710012"/>
    <w:rsid w:val="00720B3F"/>
    <w:rsid w:val="00720C62"/>
    <w:rsid w:val="00724DD7"/>
    <w:rsid w:val="007418A2"/>
    <w:rsid w:val="00741D60"/>
    <w:rsid w:val="007437E8"/>
    <w:rsid w:val="0075004C"/>
    <w:rsid w:val="00756588"/>
    <w:rsid w:val="00764341"/>
    <w:rsid w:val="00771725"/>
    <w:rsid w:val="00775FD9"/>
    <w:rsid w:val="007858AF"/>
    <w:rsid w:val="00790737"/>
    <w:rsid w:val="0079359C"/>
    <w:rsid w:val="007A529D"/>
    <w:rsid w:val="007B1B2D"/>
    <w:rsid w:val="007B4B18"/>
    <w:rsid w:val="007B62A9"/>
    <w:rsid w:val="007B7EB2"/>
    <w:rsid w:val="007C5056"/>
    <w:rsid w:val="007C58C9"/>
    <w:rsid w:val="007C6A70"/>
    <w:rsid w:val="007D1077"/>
    <w:rsid w:val="007D6323"/>
    <w:rsid w:val="007E2E1C"/>
    <w:rsid w:val="007E4F26"/>
    <w:rsid w:val="007F4F14"/>
    <w:rsid w:val="007F54BD"/>
    <w:rsid w:val="007F7618"/>
    <w:rsid w:val="00802717"/>
    <w:rsid w:val="00805C19"/>
    <w:rsid w:val="00805FF9"/>
    <w:rsid w:val="00811117"/>
    <w:rsid w:val="00811406"/>
    <w:rsid w:val="00813C89"/>
    <w:rsid w:val="00814AE1"/>
    <w:rsid w:val="00816075"/>
    <w:rsid w:val="008269D3"/>
    <w:rsid w:val="00827F1E"/>
    <w:rsid w:val="0083077B"/>
    <w:rsid w:val="00830C1F"/>
    <w:rsid w:val="00831C69"/>
    <w:rsid w:val="0083307B"/>
    <w:rsid w:val="00833BCD"/>
    <w:rsid w:val="00837963"/>
    <w:rsid w:val="0084128C"/>
    <w:rsid w:val="0084370B"/>
    <w:rsid w:val="00845936"/>
    <w:rsid w:val="008503C4"/>
    <w:rsid w:val="00851B23"/>
    <w:rsid w:val="00851C95"/>
    <w:rsid w:val="00857C3A"/>
    <w:rsid w:val="00860E13"/>
    <w:rsid w:val="008661C2"/>
    <w:rsid w:val="00871CEF"/>
    <w:rsid w:val="00875C71"/>
    <w:rsid w:val="00884C86"/>
    <w:rsid w:val="00891CFC"/>
    <w:rsid w:val="008A2F38"/>
    <w:rsid w:val="008A44E2"/>
    <w:rsid w:val="008A4FBC"/>
    <w:rsid w:val="008A6B78"/>
    <w:rsid w:val="008B2E49"/>
    <w:rsid w:val="008B5575"/>
    <w:rsid w:val="008C1650"/>
    <w:rsid w:val="008C1F83"/>
    <w:rsid w:val="008C2B4A"/>
    <w:rsid w:val="008D0DAA"/>
    <w:rsid w:val="008D41E2"/>
    <w:rsid w:val="008D6B66"/>
    <w:rsid w:val="008E344B"/>
    <w:rsid w:val="008E41DC"/>
    <w:rsid w:val="008F16AB"/>
    <w:rsid w:val="00901A26"/>
    <w:rsid w:val="009040C9"/>
    <w:rsid w:val="0090656C"/>
    <w:rsid w:val="00911857"/>
    <w:rsid w:val="009343E3"/>
    <w:rsid w:val="0094299A"/>
    <w:rsid w:val="0094434E"/>
    <w:rsid w:val="0097247C"/>
    <w:rsid w:val="009733C2"/>
    <w:rsid w:val="0098205D"/>
    <w:rsid w:val="00982079"/>
    <w:rsid w:val="00982216"/>
    <w:rsid w:val="009938DE"/>
    <w:rsid w:val="009A2DA1"/>
    <w:rsid w:val="009A5C6C"/>
    <w:rsid w:val="009B1673"/>
    <w:rsid w:val="009B1E89"/>
    <w:rsid w:val="009B4706"/>
    <w:rsid w:val="009B4E6E"/>
    <w:rsid w:val="009C0CCC"/>
    <w:rsid w:val="009D4674"/>
    <w:rsid w:val="009D47D8"/>
    <w:rsid w:val="009D5B42"/>
    <w:rsid w:val="009D61EC"/>
    <w:rsid w:val="00A124AE"/>
    <w:rsid w:val="00A12603"/>
    <w:rsid w:val="00A133A0"/>
    <w:rsid w:val="00A26E63"/>
    <w:rsid w:val="00A32863"/>
    <w:rsid w:val="00A32F88"/>
    <w:rsid w:val="00A368A3"/>
    <w:rsid w:val="00A50CA2"/>
    <w:rsid w:val="00A51459"/>
    <w:rsid w:val="00A56603"/>
    <w:rsid w:val="00A62677"/>
    <w:rsid w:val="00A72BF9"/>
    <w:rsid w:val="00A848D7"/>
    <w:rsid w:val="00A84999"/>
    <w:rsid w:val="00A9379F"/>
    <w:rsid w:val="00AA705A"/>
    <w:rsid w:val="00AB34E7"/>
    <w:rsid w:val="00AB5620"/>
    <w:rsid w:val="00AC671A"/>
    <w:rsid w:val="00AD576C"/>
    <w:rsid w:val="00AD5DED"/>
    <w:rsid w:val="00AD770C"/>
    <w:rsid w:val="00AE0761"/>
    <w:rsid w:val="00AE3C11"/>
    <w:rsid w:val="00AE49B6"/>
    <w:rsid w:val="00AE4EC3"/>
    <w:rsid w:val="00AE5FB0"/>
    <w:rsid w:val="00B005E4"/>
    <w:rsid w:val="00B06777"/>
    <w:rsid w:val="00B0692A"/>
    <w:rsid w:val="00B10080"/>
    <w:rsid w:val="00B1290D"/>
    <w:rsid w:val="00B14230"/>
    <w:rsid w:val="00B16A67"/>
    <w:rsid w:val="00B204B1"/>
    <w:rsid w:val="00B23E6F"/>
    <w:rsid w:val="00B25D74"/>
    <w:rsid w:val="00B44C50"/>
    <w:rsid w:val="00B50967"/>
    <w:rsid w:val="00B60A2D"/>
    <w:rsid w:val="00B62168"/>
    <w:rsid w:val="00B80A0F"/>
    <w:rsid w:val="00B81FF3"/>
    <w:rsid w:val="00B84FC2"/>
    <w:rsid w:val="00B95BD1"/>
    <w:rsid w:val="00BA46E2"/>
    <w:rsid w:val="00BA6628"/>
    <w:rsid w:val="00BC506D"/>
    <w:rsid w:val="00BC73D8"/>
    <w:rsid w:val="00BE2594"/>
    <w:rsid w:val="00BE46AD"/>
    <w:rsid w:val="00BE50A2"/>
    <w:rsid w:val="00BF5AE6"/>
    <w:rsid w:val="00BF66DE"/>
    <w:rsid w:val="00C032EE"/>
    <w:rsid w:val="00C14541"/>
    <w:rsid w:val="00C156BA"/>
    <w:rsid w:val="00C172A6"/>
    <w:rsid w:val="00C17FE4"/>
    <w:rsid w:val="00C27F68"/>
    <w:rsid w:val="00C37631"/>
    <w:rsid w:val="00C505EF"/>
    <w:rsid w:val="00C5075B"/>
    <w:rsid w:val="00C524FB"/>
    <w:rsid w:val="00C616FE"/>
    <w:rsid w:val="00C6532B"/>
    <w:rsid w:val="00C725BF"/>
    <w:rsid w:val="00C73C99"/>
    <w:rsid w:val="00C74316"/>
    <w:rsid w:val="00C82A57"/>
    <w:rsid w:val="00C84FC6"/>
    <w:rsid w:val="00C86399"/>
    <w:rsid w:val="00C906E4"/>
    <w:rsid w:val="00CA1381"/>
    <w:rsid w:val="00CB3E86"/>
    <w:rsid w:val="00CB5A9A"/>
    <w:rsid w:val="00CB65D1"/>
    <w:rsid w:val="00CB684D"/>
    <w:rsid w:val="00CC616F"/>
    <w:rsid w:val="00CC6F8D"/>
    <w:rsid w:val="00CD08B2"/>
    <w:rsid w:val="00CD0961"/>
    <w:rsid w:val="00CD1A54"/>
    <w:rsid w:val="00CD25EA"/>
    <w:rsid w:val="00CD43F4"/>
    <w:rsid w:val="00CE1B86"/>
    <w:rsid w:val="00CE42DF"/>
    <w:rsid w:val="00CE5A89"/>
    <w:rsid w:val="00CF68A7"/>
    <w:rsid w:val="00CF775E"/>
    <w:rsid w:val="00D012B2"/>
    <w:rsid w:val="00D1207A"/>
    <w:rsid w:val="00D12F7B"/>
    <w:rsid w:val="00D13D86"/>
    <w:rsid w:val="00D14F44"/>
    <w:rsid w:val="00D30B19"/>
    <w:rsid w:val="00D33405"/>
    <w:rsid w:val="00D3764B"/>
    <w:rsid w:val="00D42B96"/>
    <w:rsid w:val="00D436E7"/>
    <w:rsid w:val="00D50981"/>
    <w:rsid w:val="00D509C1"/>
    <w:rsid w:val="00D53C97"/>
    <w:rsid w:val="00D55970"/>
    <w:rsid w:val="00D56035"/>
    <w:rsid w:val="00D57096"/>
    <w:rsid w:val="00D6227B"/>
    <w:rsid w:val="00D66850"/>
    <w:rsid w:val="00D74493"/>
    <w:rsid w:val="00D75242"/>
    <w:rsid w:val="00D77055"/>
    <w:rsid w:val="00D80109"/>
    <w:rsid w:val="00D80B28"/>
    <w:rsid w:val="00D8193C"/>
    <w:rsid w:val="00D837E5"/>
    <w:rsid w:val="00D84F00"/>
    <w:rsid w:val="00D9663E"/>
    <w:rsid w:val="00D9690D"/>
    <w:rsid w:val="00D9720D"/>
    <w:rsid w:val="00DA6158"/>
    <w:rsid w:val="00DB3106"/>
    <w:rsid w:val="00DB48EE"/>
    <w:rsid w:val="00DB5FF3"/>
    <w:rsid w:val="00DC215B"/>
    <w:rsid w:val="00DC2C68"/>
    <w:rsid w:val="00DC2F62"/>
    <w:rsid w:val="00DC6812"/>
    <w:rsid w:val="00DC694D"/>
    <w:rsid w:val="00DD6905"/>
    <w:rsid w:val="00DE057C"/>
    <w:rsid w:val="00DE0E26"/>
    <w:rsid w:val="00DE4671"/>
    <w:rsid w:val="00DF4A17"/>
    <w:rsid w:val="00DF7ABC"/>
    <w:rsid w:val="00DF7F10"/>
    <w:rsid w:val="00E0501B"/>
    <w:rsid w:val="00E06EE7"/>
    <w:rsid w:val="00E177EF"/>
    <w:rsid w:val="00E17DBF"/>
    <w:rsid w:val="00E21D36"/>
    <w:rsid w:val="00E231E9"/>
    <w:rsid w:val="00E239D7"/>
    <w:rsid w:val="00E32EA1"/>
    <w:rsid w:val="00E4254A"/>
    <w:rsid w:val="00E507F8"/>
    <w:rsid w:val="00E54BCE"/>
    <w:rsid w:val="00E56452"/>
    <w:rsid w:val="00E56D67"/>
    <w:rsid w:val="00E62C21"/>
    <w:rsid w:val="00E67C96"/>
    <w:rsid w:val="00E75E51"/>
    <w:rsid w:val="00E811F0"/>
    <w:rsid w:val="00E83D09"/>
    <w:rsid w:val="00E854E9"/>
    <w:rsid w:val="00E87330"/>
    <w:rsid w:val="00EB3BBD"/>
    <w:rsid w:val="00EB433C"/>
    <w:rsid w:val="00ED27BC"/>
    <w:rsid w:val="00ED2D80"/>
    <w:rsid w:val="00EE5AF1"/>
    <w:rsid w:val="00EF047B"/>
    <w:rsid w:val="00EF51B2"/>
    <w:rsid w:val="00EF7385"/>
    <w:rsid w:val="00EF7A39"/>
    <w:rsid w:val="00F02E94"/>
    <w:rsid w:val="00F069D1"/>
    <w:rsid w:val="00F06F72"/>
    <w:rsid w:val="00F14726"/>
    <w:rsid w:val="00F14A20"/>
    <w:rsid w:val="00F16262"/>
    <w:rsid w:val="00F236D6"/>
    <w:rsid w:val="00F26103"/>
    <w:rsid w:val="00F33FCC"/>
    <w:rsid w:val="00F40096"/>
    <w:rsid w:val="00F43539"/>
    <w:rsid w:val="00F4554A"/>
    <w:rsid w:val="00F47B78"/>
    <w:rsid w:val="00F6611A"/>
    <w:rsid w:val="00F739C0"/>
    <w:rsid w:val="00F75458"/>
    <w:rsid w:val="00F758E4"/>
    <w:rsid w:val="00F75DF0"/>
    <w:rsid w:val="00F80645"/>
    <w:rsid w:val="00F81B28"/>
    <w:rsid w:val="00F857EA"/>
    <w:rsid w:val="00F859BE"/>
    <w:rsid w:val="00F87017"/>
    <w:rsid w:val="00FA7905"/>
    <w:rsid w:val="00FC00EB"/>
    <w:rsid w:val="00FC7CCE"/>
    <w:rsid w:val="00FD05E7"/>
    <w:rsid w:val="00FD1458"/>
    <w:rsid w:val="00FE0D21"/>
    <w:rsid w:val="00FE5CF1"/>
    <w:rsid w:val="00FF3784"/>
    <w:rsid w:val="02987BAC"/>
    <w:rsid w:val="039BB77E"/>
    <w:rsid w:val="05AF5069"/>
    <w:rsid w:val="05C95E3E"/>
    <w:rsid w:val="06377C5D"/>
    <w:rsid w:val="0662D29F"/>
    <w:rsid w:val="06B37190"/>
    <w:rsid w:val="06D2970B"/>
    <w:rsid w:val="084918DB"/>
    <w:rsid w:val="0E343779"/>
    <w:rsid w:val="0E82C645"/>
    <w:rsid w:val="0EC3C5FA"/>
    <w:rsid w:val="0FAF5204"/>
    <w:rsid w:val="119E54B2"/>
    <w:rsid w:val="11AD3AC1"/>
    <w:rsid w:val="1259FD77"/>
    <w:rsid w:val="12AB9A3A"/>
    <w:rsid w:val="14333EBC"/>
    <w:rsid w:val="155D48E9"/>
    <w:rsid w:val="174A33D6"/>
    <w:rsid w:val="191B42D7"/>
    <w:rsid w:val="19A97C21"/>
    <w:rsid w:val="1A322242"/>
    <w:rsid w:val="1AE248B0"/>
    <w:rsid w:val="1F9B58EA"/>
    <w:rsid w:val="20011534"/>
    <w:rsid w:val="20BC87DD"/>
    <w:rsid w:val="23A73257"/>
    <w:rsid w:val="25018B8B"/>
    <w:rsid w:val="2541D6A4"/>
    <w:rsid w:val="27610604"/>
    <w:rsid w:val="282C4538"/>
    <w:rsid w:val="299EF2CA"/>
    <w:rsid w:val="2B40BBDE"/>
    <w:rsid w:val="2D01AFC6"/>
    <w:rsid w:val="2DCD3769"/>
    <w:rsid w:val="2E320398"/>
    <w:rsid w:val="30585D47"/>
    <w:rsid w:val="30FA28C5"/>
    <w:rsid w:val="32C2B5E2"/>
    <w:rsid w:val="366836E7"/>
    <w:rsid w:val="37380643"/>
    <w:rsid w:val="38F7FBF6"/>
    <w:rsid w:val="3AE388B4"/>
    <w:rsid w:val="3B7C5914"/>
    <w:rsid w:val="3C380F94"/>
    <w:rsid w:val="3CA2C408"/>
    <w:rsid w:val="3DF3154E"/>
    <w:rsid w:val="3E56918F"/>
    <w:rsid w:val="402A3250"/>
    <w:rsid w:val="405060B0"/>
    <w:rsid w:val="46A5F797"/>
    <w:rsid w:val="47465434"/>
    <w:rsid w:val="4CE943E4"/>
    <w:rsid w:val="4F81286C"/>
    <w:rsid w:val="4FDFFDCF"/>
    <w:rsid w:val="50CBCCA3"/>
    <w:rsid w:val="51EF7D4D"/>
    <w:rsid w:val="52066619"/>
    <w:rsid w:val="52BD8844"/>
    <w:rsid w:val="53DAE820"/>
    <w:rsid w:val="54D65B48"/>
    <w:rsid w:val="56CEBE21"/>
    <w:rsid w:val="570D0C7B"/>
    <w:rsid w:val="57A3E6B0"/>
    <w:rsid w:val="57A6CE09"/>
    <w:rsid w:val="58EDEA40"/>
    <w:rsid w:val="5BBFF0C2"/>
    <w:rsid w:val="5BE37183"/>
    <w:rsid w:val="5C2DA6BD"/>
    <w:rsid w:val="5C43B245"/>
    <w:rsid w:val="5C6B1A54"/>
    <w:rsid w:val="5D4EF809"/>
    <w:rsid w:val="5D61E637"/>
    <w:rsid w:val="5E5587AD"/>
    <w:rsid w:val="60241202"/>
    <w:rsid w:val="604BA993"/>
    <w:rsid w:val="60546D2A"/>
    <w:rsid w:val="618FD6AA"/>
    <w:rsid w:val="623F6FEE"/>
    <w:rsid w:val="63108F3D"/>
    <w:rsid w:val="64262570"/>
    <w:rsid w:val="647F81AB"/>
    <w:rsid w:val="668DD0B0"/>
    <w:rsid w:val="66906713"/>
    <w:rsid w:val="678B48CC"/>
    <w:rsid w:val="68A2EFA2"/>
    <w:rsid w:val="6A0068A3"/>
    <w:rsid w:val="6B590791"/>
    <w:rsid w:val="706B42B9"/>
    <w:rsid w:val="70FF0227"/>
    <w:rsid w:val="714AD928"/>
    <w:rsid w:val="715C5E64"/>
    <w:rsid w:val="71F5DE72"/>
    <w:rsid w:val="7274361F"/>
    <w:rsid w:val="733EF152"/>
    <w:rsid w:val="73B80819"/>
    <w:rsid w:val="7813397F"/>
    <w:rsid w:val="78C944CD"/>
    <w:rsid w:val="793443F1"/>
    <w:rsid w:val="7A199DA6"/>
    <w:rsid w:val="7ACB5EA2"/>
    <w:rsid w:val="7BE01B52"/>
    <w:rsid w:val="7BEC4D48"/>
    <w:rsid w:val="7BF60693"/>
    <w:rsid w:val="7D2F28A5"/>
    <w:rsid w:val="7D6EA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4E8A"/>
  <w15:docId w15:val="{7EEC8AA2-0838-9F47-BA71-3C58ACE3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15"/>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AE5FB0"/>
    <w:pPr>
      <w:keepNext/>
      <w:suppressAutoHyphens w:val="0"/>
      <w:spacing w:line="320" w:lineRule="exact"/>
      <w:jc w:val="left"/>
      <w:outlineLvl w:val="0"/>
    </w:pPr>
    <w:rPr>
      <w:rFonts w:ascii="Calibri" w:hAnsi="Calibri" w:cs="Arial"/>
      <w:b/>
      <w:bCs/>
      <w:caps/>
      <w:color w:val="000080"/>
      <w:kern w:val="32"/>
      <w:sz w:val="32"/>
      <w:szCs w:val="32"/>
      <w:lang w:eastAsia="en-GB"/>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qFormat/>
    <w:rsid w:val="00177F15"/>
    <w:pPr>
      <w:keepNext/>
      <w:ind w:left="720" w:hanging="720"/>
      <w:outlineLvl w:val="1"/>
    </w:pPr>
    <w:rPr>
      <w:rFonts w:cs="Arial"/>
      <w:b/>
      <w:bCs/>
      <w:szCs w:val="24"/>
    </w:rPr>
  </w:style>
  <w:style w:type="paragraph" w:styleId="Heading3">
    <w:name w:val="heading 3"/>
    <w:basedOn w:val="Normal"/>
    <w:next w:val="Normal"/>
    <w:link w:val="Heading3Char"/>
    <w:unhideWhenUsed/>
    <w:qFormat/>
    <w:rsid w:val="00AE5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FB0"/>
    <w:rPr>
      <w:rFonts w:ascii="Calibri" w:eastAsia="Times New Roman" w:hAnsi="Calibri" w:cs="Arial"/>
      <w:b/>
      <w:bCs/>
      <w:caps/>
      <w:color w:val="000080"/>
      <w:kern w:val="32"/>
      <w:sz w:val="32"/>
      <w:szCs w:val="32"/>
      <w:lang w:eastAsia="en-GB"/>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rsid w:val="00177F15"/>
    <w:rPr>
      <w:rFonts w:ascii="Arial" w:eastAsia="Times New Roman" w:hAnsi="Arial" w:cs="Arial"/>
      <w:b/>
      <w:bCs/>
      <w:sz w:val="24"/>
      <w:szCs w:val="24"/>
    </w:rPr>
  </w:style>
  <w:style w:type="character" w:customStyle="1" w:styleId="Heading3Char">
    <w:name w:val="Heading 3 Char"/>
    <w:basedOn w:val="DefaultParagraphFont"/>
    <w:link w:val="Heading3"/>
    <w:rsid w:val="00AE5FB0"/>
    <w:rPr>
      <w:rFonts w:asciiTheme="majorHAnsi" w:eastAsiaTheme="majorEastAsia" w:hAnsiTheme="majorHAnsi" w:cstheme="majorBidi"/>
      <w:b/>
      <w:bCs/>
      <w:color w:val="4F81BD" w:themeColor="accent1"/>
      <w:sz w:val="24"/>
      <w:szCs w:val="20"/>
    </w:rPr>
  </w:style>
  <w:style w:type="paragraph" w:styleId="ListParagraph">
    <w:name w:val="List Paragraph"/>
    <w:basedOn w:val="Normal"/>
    <w:uiPriority w:val="34"/>
    <w:qFormat/>
    <w:rsid w:val="00177F15"/>
    <w:pPr>
      <w:ind w:left="720"/>
    </w:pPr>
  </w:style>
  <w:style w:type="paragraph" w:customStyle="1" w:styleId="Part">
    <w:name w:val="Part"/>
    <w:link w:val="PartChar"/>
    <w:rsid w:val="00177F15"/>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177F15"/>
    <w:rPr>
      <w:rFonts w:ascii="Arial" w:eastAsia="Times New Roman" w:hAnsi="Arial" w:cs="Times New Roman"/>
      <w:b/>
      <w:szCs w:val="24"/>
      <w:lang w:eastAsia="en-GB"/>
    </w:rPr>
  </w:style>
  <w:style w:type="paragraph" w:styleId="BodyText">
    <w:name w:val="Body Text"/>
    <w:basedOn w:val="Normal"/>
    <w:link w:val="BodyTextChar"/>
    <w:rsid w:val="00177F15"/>
    <w:pPr>
      <w:suppressAutoHyphens w:val="0"/>
      <w:jc w:val="left"/>
    </w:pPr>
    <w:rPr>
      <w:rFonts w:eastAsia="MS ??" w:cs="Arial"/>
      <w:sz w:val="22"/>
      <w:szCs w:val="22"/>
    </w:rPr>
  </w:style>
  <w:style w:type="character" w:customStyle="1" w:styleId="BodyTextChar">
    <w:name w:val="Body Text Char"/>
    <w:basedOn w:val="DefaultParagraphFont"/>
    <w:link w:val="BodyText"/>
    <w:rsid w:val="00177F15"/>
    <w:rPr>
      <w:rFonts w:ascii="Arial" w:eastAsia="MS ??" w:hAnsi="Arial" w:cs="Arial"/>
    </w:rPr>
  </w:style>
  <w:style w:type="character" w:styleId="Hyperlink">
    <w:name w:val="Hyperlink"/>
    <w:basedOn w:val="DefaultParagraphFont"/>
    <w:uiPriority w:val="99"/>
    <w:unhideWhenUsed/>
    <w:rsid w:val="003A59EE"/>
    <w:rPr>
      <w:color w:val="0000FF" w:themeColor="hyperlink"/>
      <w:u w:val="single"/>
    </w:rPr>
  </w:style>
  <w:style w:type="character" w:styleId="PageNumber">
    <w:name w:val="page number"/>
    <w:basedOn w:val="DefaultParagraphFont"/>
    <w:uiPriority w:val="99"/>
    <w:rsid w:val="002E6113"/>
    <w:rPr>
      <w:rFonts w:ascii="Arial" w:hAnsi="Arial" w:cs="Times New Roman"/>
      <w:sz w:val="24"/>
    </w:rPr>
  </w:style>
  <w:style w:type="paragraph" w:styleId="Footer">
    <w:name w:val="footer"/>
    <w:basedOn w:val="Normal"/>
    <w:link w:val="FooterChar"/>
    <w:uiPriority w:val="99"/>
    <w:rsid w:val="002E6113"/>
    <w:pPr>
      <w:tabs>
        <w:tab w:val="center" w:pos="4153"/>
        <w:tab w:val="right" w:pos="8306"/>
      </w:tabs>
    </w:pPr>
  </w:style>
  <w:style w:type="character" w:customStyle="1" w:styleId="FooterChar">
    <w:name w:val="Footer Char"/>
    <w:basedOn w:val="DefaultParagraphFont"/>
    <w:link w:val="Footer"/>
    <w:uiPriority w:val="99"/>
    <w:rsid w:val="002E6113"/>
    <w:rPr>
      <w:rFonts w:ascii="Arial" w:eastAsia="Times New Roman" w:hAnsi="Arial" w:cs="Times New Roman"/>
      <w:sz w:val="24"/>
      <w:szCs w:val="20"/>
    </w:rPr>
  </w:style>
  <w:style w:type="paragraph" w:styleId="Header">
    <w:name w:val="header"/>
    <w:basedOn w:val="Normal"/>
    <w:link w:val="HeaderChar"/>
    <w:uiPriority w:val="99"/>
    <w:rsid w:val="002E6113"/>
    <w:pPr>
      <w:tabs>
        <w:tab w:val="center" w:pos="4320"/>
        <w:tab w:val="right" w:pos="8640"/>
      </w:tabs>
      <w:suppressAutoHyphens w:val="0"/>
    </w:pPr>
    <w:rPr>
      <w:rFonts w:cs="Arial"/>
      <w:sz w:val="16"/>
    </w:rPr>
  </w:style>
  <w:style w:type="character" w:customStyle="1" w:styleId="HeaderChar">
    <w:name w:val="Header Char"/>
    <w:basedOn w:val="DefaultParagraphFont"/>
    <w:link w:val="Header"/>
    <w:uiPriority w:val="99"/>
    <w:rsid w:val="002E6113"/>
    <w:rPr>
      <w:rFonts w:ascii="Arial" w:eastAsia="Times New Roman" w:hAnsi="Arial" w:cs="Arial"/>
      <w:sz w:val="16"/>
      <w:szCs w:val="20"/>
    </w:rPr>
  </w:style>
  <w:style w:type="paragraph" w:styleId="FootnoteText">
    <w:name w:val="footnote text"/>
    <w:basedOn w:val="Normal"/>
    <w:link w:val="FootnoteTextChar"/>
    <w:uiPriority w:val="99"/>
    <w:semiHidden/>
    <w:rsid w:val="002E6113"/>
    <w:pPr>
      <w:suppressAutoHyphens w:val="0"/>
      <w:jc w:val="left"/>
    </w:pPr>
    <w:rPr>
      <w:rFonts w:cs="Arial"/>
      <w:sz w:val="20"/>
    </w:rPr>
  </w:style>
  <w:style w:type="character" w:customStyle="1" w:styleId="FootnoteTextChar">
    <w:name w:val="Footnote Text Char"/>
    <w:basedOn w:val="DefaultParagraphFont"/>
    <w:link w:val="FootnoteText"/>
    <w:uiPriority w:val="99"/>
    <w:semiHidden/>
    <w:rsid w:val="002E6113"/>
    <w:rPr>
      <w:rFonts w:ascii="Arial" w:eastAsia="Times New Roman" w:hAnsi="Arial" w:cs="Arial"/>
      <w:sz w:val="20"/>
      <w:szCs w:val="20"/>
    </w:rPr>
  </w:style>
  <w:style w:type="character" w:styleId="FootnoteReference">
    <w:name w:val="footnote reference"/>
    <w:basedOn w:val="DefaultParagraphFont"/>
    <w:uiPriority w:val="99"/>
    <w:semiHidden/>
    <w:rsid w:val="002E6113"/>
    <w:rPr>
      <w:rFonts w:cs="Times New Roman"/>
      <w:vertAlign w:val="superscript"/>
    </w:rPr>
  </w:style>
  <w:style w:type="paragraph" w:styleId="NormalWeb">
    <w:name w:val="Normal (Web)"/>
    <w:basedOn w:val="Normal"/>
    <w:uiPriority w:val="99"/>
    <w:rsid w:val="002E6113"/>
    <w:pPr>
      <w:suppressAutoHyphens w:val="0"/>
      <w:jc w:val="left"/>
    </w:pPr>
    <w:rPr>
      <w:rFonts w:ascii="Times New Roman" w:hAnsi="Times New Roman"/>
      <w:szCs w:val="24"/>
      <w:lang w:eastAsia="en-GB"/>
    </w:rPr>
  </w:style>
  <w:style w:type="character" w:styleId="Strong">
    <w:name w:val="Strong"/>
    <w:basedOn w:val="DefaultParagraphFont"/>
    <w:uiPriority w:val="22"/>
    <w:qFormat/>
    <w:rsid w:val="002E6113"/>
    <w:rPr>
      <w:rFonts w:cs="Times New Roman"/>
      <w:b/>
    </w:rPr>
  </w:style>
  <w:style w:type="paragraph" w:customStyle="1" w:styleId="Default">
    <w:name w:val="Default"/>
    <w:rsid w:val="002E61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uiPriority w:val="99"/>
    <w:semiHidden/>
    <w:unhideWhenUsed/>
    <w:rsid w:val="004D258C"/>
    <w:pPr>
      <w:spacing w:after="120"/>
      <w:ind w:left="283"/>
    </w:pPr>
  </w:style>
  <w:style w:type="character" w:customStyle="1" w:styleId="BodyTextIndentChar">
    <w:name w:val="Body Text Indent Char"/>
    <w:basedOn w:val="DefaultParagraphFont"/>
    <w:link w:val="BodyTextIndent"/>
    <w:uiPriority w:val="99"/>
    <w:semiHidden/>
    <w:rsid w:val="004D258C"/>
    <w:rPr>
      <w:rFonts w:ascii="Arial" w:eastAsia="Times New Roman" w:hAnsi="Arial" w:cs="Times New Roman"/>
      <w:sz w:val="24"/>
      <w:szCs w:val="20"/>
    </w:rPr>
  </w:style>
  <w:style w:type="table" w:styleId="TableGrid">
    <w:name w:val="Table Grid"/>
    <w:basedOn w:val="TableNormal"/>
    <w:rsid w:val="00B8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tNormal">
    <w:name w:val="nrtNormal"/>
    <w:basedOn w:val="Normal"/>
    <w:link w:val="nrtNormalChar"/>
    <w:rsid w:val="00AE5FB0"/>
    <w:pPr>
      <w:tabs>
        <w:tab w:val="left" w:leader="dot" w:pos="6804"/>
        <w:tab w:val="right" w:leader="dot" w:pos="9639"/>
      </w:tabs>
      <w:suppressAutoHyphens w:val="0"/>
      <w:spacing w:after="320" w:line="320" w:lineRule="exact"/>
      <w:jc w:val="left"/>
    </w:pPr>
    <w:rPr>
      <w:rFonts w:ascii="Calibri" w:hAnsi="Calibri"/>
      <w:szCs w:val="24"/>
      <w:lang w:eastAsia="en-GB"/>
    </w:rPr>
  </w:style>
  <w:style w:type="character" w:customStyle="1" w:styleId="nrtNormalChar">
    <w:name w:val="nrtNormal Char"/>
    <w:link w:val="nrtNormal"/>
    <w:rsid w:val="00AE5FB0"/>
    <w:rPr>
      <w:rFonts w:ascii="Calibri" w:eastAsia="Times New Roman" w:hAnsi="Calibri" w:cs="Times New Roman"/>
      <w:sz w:val="24"/>
      <w:szCs w:val="24"/>
      <w:lang w:eastAsia="en-GB"/>
    </w:rPr>
  </w:style>
  <w:style w:type="paragraph" w:customStyle="1" w:styleId="nrtTableText">
    <w:name w:val="nrtTableText"/>
    <w:basedOn w:val="Normal"/>
    <w:link w:val="nrtTableTextChar"/>
    <w:rsid w:val="00AE5FB0"/>
    <w:pPr>
      <w:suppressAutoHyphens w:val="0"/>
      <w:spacing w:line="320" w:lineRule="exact"/>
      <w:jc w:val="left"/>
    </w:pPr>
    <w:rPr>
      <w:rFonts w:ascii="Calibri" w:hAnsi="Calibri"/>
      <w:szCs w:val="24"/>
      <w:lang w:eastAsia="en-GB"/>
    </w:rPr>
  </w:style>
  <w:style w:type="character" w:customStyle="1" w:styleId="nrtTableTextChar">
    <w:name w:val="nrtTableText Char"/>
    <w:link w:val="nrtTableText"/>
    <w:rsid w:val="00AE5FB0"/>
    <w:rPr>
      <w:rFonts w:ascii="Calibri" w:eastAsia="Times New Roman" w:hAnsi="Calibri" w:cs="Times New Roman"/>
      <w:sz w:val="24"/>
      <w:szCs w:val="24"/>
      <w:lang w:eastAsia="en-GB"/>
    </w:rPr>
  </w:style>
  <w:style w:type="paragraph" w:customStyle="1" w:styleId="nrtTitle">
    <w:name w:val="nrtTitle"/>
    <w:basedOn w:val="Heading1"/>
    <w:rsid w:val="00AE5FB0"/>
    <w:pPr>
      <w:spacing w:before="320" w:after="320"/>
    </w:pPr>
  </w:style>
  <w:style w:type="paragraph" w:customStyle="1" w:styleId="nrtTabletextBold">
    <w:name w:val="nrtTabletextBold"/>
    <w:basedOn w:val="nrtTableText"/>
    <w:link w:val="nrtTabletextBoldChar"/>
    <w:rsid w:val="00AE5FB0"/>
    <w:rPr>
      <w:b/>
    </w:rPr>
  </w:style>
  <w:style w:type="character" w:customStyle="1" w:styleId="nrtTabletextBoldChar">
    <w:name w:val="nrtTabletextBold Char"/>
    <w:link w:val="nrtTabletextBold"/>
    <w:rsid w:val="00AE5FB0"/>
    <w:rPr>
      <w:rFonts w:ascii="Calibri" w:eastAsia="Times New Roman" w:hAnsi="Calibri" w:cs="Times New Roman"/>
      <w:b/>
      <w:sz w:val="24"/>
      <w:szCs w:val="24"/>
      <w:lang w:eastAsia="en-GB"/>
    </w:rPr>
  </w:style>
  <w:style w:type="paragraph" w:customStyle="1" w:styleId="nrtTablebullett">
    <w:name w:val="nrtTablebullett"/>
    <w:basedOn w:val="nrtTableText"/>
    <w:rsid w:val="00AE5FB0"/>
    <w:pPr>
      <w:tabs>
        <w:tab w:val="left" w:pos="357"/>
      </w:tabs>
      <w:ind w:left="435" w:hanging="435"/>
    </w:pPr>
    <w:rPr>
      <w:rFonts w:cs="Calibri"/>
    </w:rPr>
  </w:style>
  <w:style w:type="paragraph" w:customStyle="1" w:styleId="nrtNewTopiNewPage">
    <w:name w:val="nrtNewTopiNewPage"/>
    <w:basedOn w:val="Heading3"/>
    <w:rsid w:val="00AE5FB0"/>
    <w:pPr>
      <w:keepLines w:val="0"/>
      <w:pageBreakBefore/>
      <w:suppressAutoHyphens w:val="0"/>
      <w:spacing w:after="120" w:line="320" w:lineRule="exact"/>
      <w:jc w:val="left"/>
    </w:pPr>
    <w:rPr>
      <w:rFonts w:ascii="Calibri" w:eastAsia="Times New Roman" w:hAnsi="Calibri" w:cs="Arial"/>
      <w:caps/>
      <w:color w:val="000080"/>
      <w:sz w:val="26"/>
      <w:szCs w:val="26"/>
      <w:lang w:eastAsia="en-GB"/>
    </w:rPr>
  </w:style>
  <w:style w:type="paragraph" w:customStyle="1" w:styleId="nrtNewTopic">
    <w:name w:val="nrtNewTopic"/>
    <w:basedOn w:val="nrtNewTopiNewPage"/>
    <w:rsid w:val="00AE5FB0"/>
    <w:pPr>
      <w:pageBreakBefore w:val="0"/>
      <w:spacing w:before="160" w:after="160"/>
    </w:pPr>
  </w:style>
  <w:style w:type="paragraph" w:customStyle="1" w:styleId="nrtH3">
    <w:name w:val="nrtH3"/>
    <w:basedOn w:val="Heading3"/>
    <w:link w:val="nrtH3Char"/>
    <w:rsid w:val="00AE5FB0"/>
    <w:pPr>
      <w:keepLines w:val="0"/>
      <w:suppressAutoHyphens w:val="0"/>
      <w:spacing w:before="320" w:line="320" w:lineRule="exact"/>
      <w:jc w:val="left"/>
    </w:pPr>
    <w:rPr>
      <w:rFonts w:ascii="Calibri" w:eastAsia="Times New Roman" w:hAnsi="Calibri" w:cs="Arial"/>
      <w:color w:val="000080"/>
      <w:sz w:val="26"/>
      <w:szCs w:val="26"/>
      <w:lang w:eastAsia="en-GB"/>
    </w:rPr>
  </w:style>
  <w:style w:type="character" w:customStyle="1" w:styleId="nrtH3Char">
    <w:name w:val="nrtH3 Char"/>
    <w:link w:val="nrtH3"/>
    <w:rsid w:val="00AE5FB0"/>
    <w:rPr>
      <w:rFonts w:ascii="Calibri" w:eastAsia="Times New Roman" w:hAnsi="Calibri" w:cs="Arial"/>
      <w:b/>
      <w:bCs/>
      <w:color w:val="000080"/>
      <w:sz w:val="26"/>
      <w:szCs w:val="26"/>
      <w:lang w:eastAsia="en-GB"/>
    </w:rPr>
  </w:style>
  <w:style w:type="paragraph" w:customStyle="1" w:styleId="nrtBullett">
    <w:name w:val="nrtBullett"/>
    <w:basedOn w:val="nrtNormal"/>
    <w:rsid w:val="00AE5FB0"/>
    <w:pPr>
      <w:spacing w:before="160" w:after="160"/>
      <w:ind w:left="714" w:hanging="357"/>
    </w:pPr>
  </w:style>
  <w:style w:type="paragraph" w:customStyle="1" w:styleId="nrtNormalBold">
    <w:name w:val="nrtNormalBold"/>
    <w:basedOn w:val="nrtNormal"/>
    <w:link w:val="nrtNormalBoldChar"/>
    <w:rsid w:val="00AE5FB0"/>
    <w:rPr>
      <w:b/>
    </w:rPr>
  </w:style>
  <w:style w:type="character" w:customStyle="1" w:styleId="nrtNormalBoldChar">
    <w:name w:val="nrtNormalBold Char"/>
    <w:link w:val="nrtNormalBold"/>
    <w:rsid w:val="00AE5FB0"/>
    <w:rPr>
      <w:rFonts w:ascii="Calibri" w:eastAsia="Times New Roman" w:hAnsi="Calibri" w:cs="Times New Roman"/>
      <w:b/>
      <w:sz w:val="24"/>
      <w:szCs w:val="24"/>
      <w:lang w:eastAsia="en-GB"/>
    </w:rPr>
  </w:style>
  <w:style w:type="paragraph" w:customStyle="1" w:styleId="nrtNormalUnderline">
    <w:name w:val="nrtNormalUnderline"/>
    <w:basedOn w:val="nrtNormal"/>
    <w:link w:val="nrtNormalUnderlineChar"/>
    <w:rsid w:val="00AE5FB0"/>
    <w:pPr>
      <w:spacing w:before="320" w:after="0"/>
    </w:pPr>
    <w:rPr>
      <w:u w:val="single"/>
    </w:rPr>
  </w:style>
  <w:style w:type="character" w:customStyle="1" w:styleId="nrtNormalUnderlineChar">
    <w:name w:val="nrtNormalUnderline Char"/>
    <w:link w:val="nrtNormalUnderline"/>
    <w:rsid w:val="00AE5FB0"/>
    <w:rPr>
      <w:rFonts w:ascii="Calibri" w:eastAsia="Times New Roman" w:hAnsi="Calibri" w:cs="Times New Roman"/>
      <w:sz w:val="24"/>
      <w:szCs w:val="24"/>
      <w:u w:val="single"/>
      <w:lang w:eastAsia="en-GB"/>
    </w:rPr>
  </w:style>
  <w:style w:type="paragraph" w:styleId="TOC2">
    <w:name w:val="toc 2"/>
    <w:basedOn w:val="Normal"/>
    <w:next w:val="Normal"/>
    <w:autoRedefine/>
    <w:uiPriority w:val="39"/>
    <w:rsid w:val="00AE5FB0"/>
    <w:pPr>
      <w:tabs>
        <w:tab w:val="right" w:leader="dot" w:pos="9628"/>
      </w:tabs>
      <w:suppressAutoHyphens w:val="0"/>
      <w:spacing w:line="320" w:lineRule="exact"/>
      <w:ind w:left="357"/>
      <w:jc w:val="left"/>
    </w:pPr>
    <w:rPr>
      <w:rFonts w:ascii="Calibri" w:hAnsi="Calibri"/>
      <w:szCs w:val="24"/>
      <w:lang w:eastAsia="en-GB"/>
    </w:rPr>
  </w:style>
  <w:style w:type="paragraph" w:styleId="TOC1">
    <w:name w:val="toc 1"/>
    <w:basedOn w:val="Normal"/>
    <w:next w:val="Normal"/>
    <w:autoRedefine/>
    <w:uiPriority w:val="39"/>
    <w:rsid w:val="00AE5FB0"/>
    <w:pPr>
      <w:keepNext/>
      <w:suppressAutoHyphens w:val="0"/>
      <w:spacing w:line="320" w:lineRule="exact"/>
      <w:jc w:val="left"/>
    </w:pPr>
    <w:rPr>
      <w:rFonts w:ascii="Calibri" w:hAnsi="Calibri"/>
      <w:szCs w:val="24"/>
      <w:lang w:eastAsia="en-GB"/>
    </w:rPr>
  </w:style>
  <w:style w:type="paragraph" w:customStyle="1" w:styleId="nrtNormalBoldCentre">
    <w:name w:val="nrtNormalBoldCentre"/>
    <w:basedOn w:val="nrtNormalBold"/>
    <w:link w:val="nrtNormalBoldCentreChar"/>
    <w:rsid w:val="00AE5FB0"/>
    <w:rPr>
      <w:sz w:val="28"/>
    </w:rPr>
  </w:style>
  <w:style w:type="character" w:customStyle="1" w:styleId="nrtNormalBoldCentreChar">
    <w:name w:val="nrtNormalBoldCentre Char"/>
    <w:link w:val="nrtNormalBoldCentre"/>
    <w:rsid w:val="00AE5FB0"/>
    <w:rPr>
      <w:rFonts w:ascii="Calibri" w:eastAsia="Times New Roman" w:hAnsi="Calibri" w:cs="Times New Roman"/>
      <w:b/>
      <w:sz w:val="28"/>
      <w:szCs w:val="24"/>
      <w:lang w:eastAsia="en-GB"/>
    </w:rPr>
  </w:style>
  <w:style w:type="paragraph" w:customStyle="1" w:styleId="nrtPathwayTitle">
    <w:name w:val="nrtPathwayTitle"/>
    <w:basedOn w:val="Normal"/>
    <w:rsid w:val="00AE5FB0"/>
    <w:pPr>
      <w:suppressAutoHyphens w:val="0"/>
      <w:jc w:val="center"/>
    </w:pPr>
    <w:rPr>
      <w:rFonts w:ascii="Calibri" w:hAnsi="Calibri"/>
      <w:b/>
      <w:sz w:val="20"/>
      <w:szCs w:val="18"/>
      <w:lang w:eastAsia="en-GB"/>
    </w:rPr>
  </w:style>
  <w:style w:type="paragraph" w:customStyle="1" w:styleId="nrtPathwayTextItalic">
    <w:name w:val="nrtPathwayTextItalic"/>
    <w:basedOn w:val="Normal"/>
    <w:rsid w:val="00AE5FB0"/>
    <w:pPr>
      <w:suppressAutoHyphens w:val="0"/>
      <w:jc w:val="left"/>
    </w:pPr>
    <w:rPr>
      <w:rFonts w:ascii="Calibri" w:hAnsi="Calibri"/>
      <w:i/>
      <w:sz w:val="20"/>
      <w:szCs w:val="18"/>
      <w:lang w:eastAsia="en-GB"/>
    </w:rPr>
  </w:style>
  <w:style w:type="paragraph" w:customStyle="1" w:styleId="StylenrtTableTextRight">
    <w:name w:val="Style nrtTableTextRight"/>
    <w:basedOn w:val="nrtTableText"/>
    <w:rsid w:val="00AE5FB0"/>
    <w:pPr>
      <w:jc w:val="right"/>
    </w:pPr>
    <w:rPr>
      <w:szCs w:val="20"/>
    </w:rPr>
  </w:style>
  <w:style w:type="paragraph" w:customStyle="1" w:styleId="AddressBlock">
    <w:name w:val="Address Block"/>
    <w:basedOn w:val="Normal"/>
    <w:rsid w:val="00AE5FB0"/>
    <w:pPr>
      <w:suppressAutoHyphens w:val="0"/>
      <w:spacing w:line="220" w:lineRule="exact"/>
      <w:jc w:val="right"/>
    </w:pPr>
    <w:rPr>
      <w:rFonts w:cs="Arial"/>
      <w:sz w:val="18"/>
      <w:lang w:eastAsia="en-GB"/>
    </w:rPr>
  </w:style>
  <w:style w:type="paragraph" w:customStyle="1" w:styleId="nrtNumbereBold">
    <w:name w:val="nrtNumbereBold"/>
    <w:basedOn w:val="nrtNormal"/>
    <w:rsid w:val="00AE5FB0"/>
    <w:pPr>
      <w:spacing w:after="0"/>
      <w:ind w:left="720" w:hanging="360"/>
    </w:pPr>
    <w:rPr>
      <w:b/>
    </w:rPr>
  </w:style>
  <w:style w:type="paragraph" w:customStyle="1" w:styleId="nrtNumberedReply">
    <w:name w:val="nrtNumberedReply"/>
    <w:basedOn w:val="nrtNormal"/>
    <w:link w:val="nrtNumberedReplyChar"/>
    <w:rsid w:val="00AE5FB0"/>
    <w:pPr>
      <w:ind w:left="357"/>
    </w:pPr>
  </w:style>
  <w:style w:type="character" w:customStyle="1" w:styleId="nrtNumberedReplyChar">
    <w:name w:val="nrtNumberedReply Char"/>
    <w:basedOn w:val="nrtNormalChar"/>
    <w:link w:val="nrtNumberedReply"/>
    <w:rsid w:val="00AE5FB0"/>
    <w:rPr>
      <w:rFonts w:ascii="Calibri" w:eastAsia="Times New Roman" w:hAnsi="Calibri" w:cs="Times New Roman"/>
      <w:sz w:val="24"/>
      <w:szCs w:val="24"/>
      <w:lang w:eastAsia="en-GB"/>
    </w:rPr>
  </w:style>
  <w:style w:type="paragraph" w:customStyle="1" w:styleId="nrtPathwayText">
    <w:name w:val="nrtPathwayText"/>
    <w:basedOn w:val="Normal"/>
    <w:rsid w:val="00AE5FB0"/>
    <w:pPr>
      <w:suppressAutoHyphens w:val="0"/>
      <w:jc w:val="left"/>
    </w:pPr>
    <w:rPr>
      <w:rFonts w:ascii="Calibri" w:hAnsi="Calibri"/>
      <w:sz w:val="20"/>
      <w:szCs w:val="18"/>
      <w:lang w:eastAsia="en-GB"/>
    </w:rPr>
  </w:style>
  <w:style w:type="paragraph" w:customStyle="1" w:styleId="nrtPathwayBullett">
    <w:name w:val="nrtPathwayBullett"/>
    <w:basedOn w:val="Normal"/>
    <w:rsid w:val="00AE5FB0"/>
    <w:pPr>
      <w:tabs>
        <w:tab w:val="num" w:pos="284"/>
      </w:tabs>
      <w:suppressAutoHyphens w:val="0"/>
      <w:ind w:left="284" w:hanging="284"/>
      <w:jc w:val="left"/>
    </w:pPr>
    <w:rPr>
      <w:rFonts w:ascii="Calibri" w:hAnsi="Calibri"/>
      <w:sz w:val="20"/>
      <w:szCs w:val="24"/>
      <w:lang w:eastAsia="en-GB"/>
    </w:rPr>
  </w:style>
  <w:style w:type="character" w:customStyle="1" w:styleId="CommentTextChar">
    <w:name w:val="Comment Text Char"/>
    <w:basedOn w:val="DefaultParagraphFont"/>
    <w:link w:val="CommentText"/>
    <w:semiHidden/>
    <w:rsid w:val="00AE5FB0"/>
    <w:rPr>
      <w:rFonts w:ascii="Calibri" w:eastAsia="Times New Roman" w:hAnsi="Calibri" w:cs="Times New Roman"/>
      <w:sz w:val="20"/>
      <w:szCs w:val="20"/>
      <w:lang w:eastAsia="en-GB"/>
    </w:rPr>
  </w:style>
  <w:style w:type="paragraph" w:styleId="CommentText">
    <w:name w:val="annotation text"/>
    <w:basedOn w:val="Normal"/>
    <w:link w:val="CommentTextChar"/>
    <w:semiHidden/>
    <w:rsid w:val="00AE5FB0"/>
    <w:pPr>
      <w:suppressAutoHyphens w:val="0"/>
      <w:spacing w:line="320" w:lineRule="exact"/>
      <w:jc w:val="left"/>
    </w:pPr>
    <w:rPr>
      <w:rFonts w:ascii="Calibri" w:hAnsi="Calibri"/>
      <w:sz w:val="20"/>
      <w:lang w:eastAsia="en-GB"/>
    </w:rPr>
  </w:style>
  <w:style w:type="character" w:customStyle="1" w:styleId="CommentSubjectChar">
    <w:name w:val="Comment Subject Char"/>
    <w:basedOn w:val="CommentTextChar"/>
    <w:link w:val="CommentSubject"/>
    <w:semiHidden/>
    <w:rsid w:val="00AE5FB0"/>
    <w:rPr>
      <w:rFonts w:ascii="Calibri" w:eastAsia="Times New Roman" w:hAnsi="Calibri" w:cs="Times New Roman"/>
      <w:b/>
      <w:bCs/>
      <w:sz w:val="20"/>
      <w:szCs w:val="20"/>
      <w:lang w:eastAsia="en-GB"/>
    </w:rPr>
  </w:style>
  <w:style w:type="paragraph" w:styleId="CommentSubject">
    <w:name w:val="annotation subject"/>
    <w:basedOn w:val="CommentText"/>
    <w:next w:val="CommentText"/>
    <w:link w:val="CommentSubjectChar"/>
    <w:semiHidden/>
    <w:rsid w:val="00AE5FB0"/>
    <w:rPr>
      <w:b/>
      <w:bCs/>
    </w:rPr>
  </w:style>
  <w:style w:type="paragraph" w:styleId="BalloonText">
    <w:name w:val="Balloon Text"/>
    <w:basedOn w:val="Normal"/>
    <w:link w:val="BalloonTextChar"/>
    <w:semiHidden/>
    <w:rsid w:val="00AE5FB0"/>
    <w:pPr>
      <w:suppressAutoHyphens w:val="0"/>
      <w:spacing w:line="320" w:lineRule="exact"/>
      <w:jc w:val="left"/>
    </w:pPr>
    <w:rPr>
      <w:rFonts w:ascii="Tahoma" w:hAnsi="Tahoma" w:cs="Tahoma"/>
      <w:sz w:val="16"/>
      <w:szCs w:val="16"/>
      <w:lang w:eastAsia="en-GB"/>
    </w:rPr>
  </w:style>
  <w:style w:type="character" w:customStyle="1" w:styleId="BalloonTextChar">
    <w:name w:val="Balloon Text Char"/>
    <w:basedOn w:val="DefaultParagraphFont"/>
    <w:link w:val="BalloonText"/>
    <w:semiHidden/>
    <w:rsid w:val="00AE5FB0"/>
    <w:rPr>
      <w:rFonts w:ascii="Tahoma" w:eastAsia="Times New Roman" w:hAnsi="Tahoma" w:cs="Tahoma"/>
      <w:sz w:val="16"/>
      <w:szCs w:val="16"/>
      <w:lang w:eastAsia="en-GB"/>
    </w:rPr>
  </w:style>
  <w:style w:type="paragraph" w:customStyle="1" w:styleId="nrtNumbered">
    <w:name w:val="nrtNumbered"/>
    <w:basedOn w:val="nrtNormal"/>
    <w:rsid w:val="00AE5FB0"/>
  </w:style>
  <w:style w:type="paragraph" w:customStyle="1" w:styleId="nrtReferences">
    <w:name w:val="nrtReferences"/>
    <w:basedOn w:val="nrtNumbered"/>
    <w:rsid w:val="00AE5FB0"/>
    <w:pPr>
      <w:tabs>
        <w:tab w:val="clear" w:pos="6804"/>
        <w:tab w:val="clear" w:pos="9639"/>
      </w:tabs>
      <w:ind w:left="357" w:hanging="357"/>
    </w:pPr>
  </w:style>
  <w:style w:type="paragraph" w:customStyle="1" w:styleId="DocumentLabel">
    <w:name w:val="Document Label"/>
    <w:basedOn w:val="Normal"/>
    <w:next w:val="Normal"/>
    <w:rsid w:val="00AB5620"/>
    <w:pPr>
      <w:keepNext/>
      <w:keepLines/>
      <w:suppressAutoHyphens w:val="0"/>
      <w:spacing w:before="400" w:after="120" w:line="240" w:lineRule="atLeast"/>
      <w:ind w:left="-840"/>
      <w:jc w:val="left"/>
    </w:pPr>
    <w:rPr>
      <w:rFonts w:ascii="Arial Black" w:hAnsi="Arial Black"/>
      <w:spacing w:val="-5"/>
      <w:kern w:val="28"/>
      <w:sz w:val="96"/>
    </w:rPr>
  </w:style>
  <w:style w:type="paragraph" w:styleId="MessageHeader">
    <w:name w:val="Message Header"/>
    <w:basedOn w:val="BodyText"/>
    <w:link w:val="MessageHeaderChar"/>
    <w:rsid w:val="00AB5620"/>
    <w:pPr>
      <w:keepLines/>
      <w:spacing w:after="120" w:line="180" w:lineRule="atLeast"/>
      <w:ind w:left="720" w:hanging="720"/>
    </w:pPr>
    <w:rPr>
      <w:rFonts w:eastAsia="Times New Roman" w:cs="Times New Roman"/>
      <w:spacing w:val="-5"/>
      <w:sz w:val="20"/>
      <w:szCs w:val="20"/>
    </w:rPr>
  </w:style>
  <w:style w:type="character" w:customStyle="1" w:styleId="MessageHeaderChar">
    <w:name w:val="Message Header Char"/>
    <w:basedOn w:val="DefaultParagraphFont"/>
    <w:link w:val="MessageHeader"/>
    <w:rsid w:val="00AB5620"/>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AB5620"/>
    <w:pPr>
      <w:spacing w:before="220"/>
    </w:pPr>
  </w:style>
  <w:style w:type="character" w:customStyle="1" w:styleId="MessageHeaderLabel">
    <w:name w:val="Message Header Label"/>
    <w:rsid w:val="00AB5620"/>
    <w:rPr>
      <w:rFonts w:ascii="Arial Black" w:hAnsi="Arial Black"/>
      <w:spacing w:val="-10"/>
      <w:sz w:val="18"/>
    </w:rPr>
  </w:style>
  <w:style w:type="paragraph" w:customStyle="1" w:styleId="MessageHeaderLast">
    <w:name w:val="Message Header Last"/>
    <w:basedOn w:val="MessageHeader"/>
    <w:next w:val="BodyText"/>
    <w:rsid w:val="00AB5620"/>
    <w:pPr>
      <w:pBdr>
        <w:bottom w:val="single" w:sz="6" w:space="15" w:color="auto"/>
      </w:pBdr>
      <w:spacing w:after="320"/>
    </w:pPr>
  </w:style>
  <w:style w:type="character" w:styleId="IntenseEmphasis">
    <w:name w:val="Intense Emphasis"/>
    <w:uiPriority w:val="21"/>
    <w:qFormat/>
    <w:rsid w:val="00AB5620"/>
    <w:rPr>
      <w:b/>
      <w:bCs/>
      <w:i/>
      <w:iCs/>
      <w:color w:val="4F81BD"/>
    </w:rPr>
  </w:style>
  <w:style w:type="paragraph" w:styleId="Revision">
    <w:name w:val="Revision"/>
    <w:hidden/>
    <w:uiPriority w:val="99"/>
    <w:semiHidden/>
    <w:rsid w:val="009938DE"/>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semiHidden/>
    <w:unhideWhenUsed/>
    <w:rsid w:val="00A133A0"/>
    <w:rPr>
      <w:sz w:val="16"/>
      <w:szCs w:val="16"/>
    </w:rPr>
  </w:style>
  <w:style w:type="character" w:styleId="FollowedHyperlink">
    <w:name w:val="FollowedHyperlink"/>
    <w:basedOn w:val="DefaultParagraphFont"/>
    <w:uiPriority w:val="99"/>
    <w:semiHidden/>
    <w:unhideWhenUsed/>
    <w:rsid w:val="007418A2"/>
    <w:rPr>
      <w:color w:val="800080" w:themeColor="followedHyperlink"/>
      <w:u w:val="single"/>
    </w:rPr>
  </w:style>
  <w:style w:type="character" w:styleId="UnresolvedMention">
    <w:name w:val="Unresolved Mention"/>
    <w:basedOn w:val="DefaultParagraphFont"/>
    <w:uiPriority w:val="99"/>
    <w:semiHidden/>
    <w:unhideWhenUsed/>
    <w:rsid w:val="00410EBD"/>
    <w:rPr>
      <w:color w:val="605E5C"/>
      <w:shd w:val="clear" w:color="auto" w:fill="E1DFDD"/>
    </w:rPr>
  </w:style>
  <w:style w:type="character" w:customStyle="1" w:styleId="manufacturer">
    <w:name w:val="manufacturer"/>
    <w:basedOn w:val="DefaultParagraphFont"/>
    <w:rsid w:val="0018098F"/>
  </w:style>
  <w:style w:type="character" w:customStyle="1" w:styleId="strengthofactiveingredient">
    <w:name w:val="strengthofactiveingredient"/>
    <w:basedOn w:val="DefaultParagraphFont"/>
    <w:rsid w:val="0018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8187">
      <w:bodyDiv w:val="1"/>
      <w:marLeft w:val="0"/>
      <w:marRight w:val="0"/>
      <w:marTop w:val="0"/>
      <w:marBottom w:val="0"/>
      <w:divBdr>
        <w:top w:val="none" w:sz="0" w:space="0" w:color="auto"/>
        <w:left w:val="none" w:sz="0" w:space="0" w:color="auto"/>
        <w:bottom w:val="none" w:sz="0" w:space="0" w:color="auto"/>
        <w:right w:val="none" w:sz="0" w:space="0" w:color="auto"/>
      </w:divBdr>
    </w:div>
    <w:div w:id="1029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helens.gov.uk/media/3514/1401235_st_helens_safeguarding_adults_edition_april_2015.pdf" TargetMode="External"/><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www.nutrition.org.uk/news/2021/british-nutrition-foundation-survey-reveals-49-adults-unaware-of-uk-government-guidelines-for-vitamin-d/" TargetMode="External"/><Relationship Id="rId17" Type="http://schemas.openxmlformats.org/officeDocument/2006/relationships/header" Target="head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ice.org.uk/guidance/ph56/resources/vitamin-d-supplement-use-in-specific-population-groups-pdf-199642176531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ks.nice.org.uk/topics/vitamin-d-deficiency-in-adults/background-information/prevalence/" TargetMode="Externa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bnf.nice.org.uk/drug/colecalciferol.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footer" Target="footer4.xml"/><Relationship Id="rId30"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625AE-2906-43F3-A085-C7B6FF01AE15}"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D6518E91-51C7-4F97-8373-C78AE26A3C97}">
      <dgm:prSet phldrT="[Text]" custT="1"/>
      <dgm:spPr/>
      <dgm:t>
        <a:bodyPr/>
        <a:lstStyle/>
        <a:p>
          <a:r>
            <a:rPr lang="en-GB" sz="1600" b="1"/>
            <a:t>Check voucher</a:t>
          </a:r>
        </a:p>
      </dgm:t>
    </dgm:pt>
    <dgm:pt modelId="{1E6B958D-A8E5-4DD2-A652-8B5A081C9BF4}" type="parTrans" cxnId="{E3F890B9-F030-4318-8DB3-57BD3DF79F81}">
      <dgm:prSet/>
      <dgm:spPr/>
      <dgm:t>
        <a:bodyPr/>
        <a:lstStyle/>
        <a:p>
          <a:endParaRPr lang="en-GB" sz="1200"/>
        </a:p>
      </dgm:t>
    </dgm:pt>
    <dgm:pt modelId="{B2CAFA15-28B3-4EFE-848E-F6479138C739}" type="sibTrans" cxnId="{E3F890B9-F030-4318-8DB3-57BD3DF79F81}">
      <dgm:prSet/>
      <dgm:spPr/>
      <dgm:t>
        <a:bodyPr/>
        <a:lstStyle/>
        <a:p>
          <a:endParaRPr lang="en-GB" sz="1200"/>
        </a:p>
      </dgm:t>
    </dgm:pt>
    <dgm:pt modelId="{589CBD57-04C2-46E8-BFFA-55B5A6659F9B}">
      <dgm:prSet phldrT="[Text]" custT="1"/>
      <dgm:spPr/>
      <dgm:t>
        <a:bodyPr/>
        <a:lstStyle/>
        <a:p>
          <a:r>
            <a:rPr lang="en-GB" sz="1600" b="1"/>
            <a:t>Check if any contraindications</a:t>
          </a:r>
        </a:p>
      </dgm:t>
    </dgm:pt>
    <dgm:pt modelId="{76D79E5E-FBEF-460C-A62D-E6800C638546}" type="parTrans" cxnId="{1A328182-AB44-4087-B7CA-F0BBAF10A9C7}">
      <dgm:prSet/>
      <dgm:spPr/>
      <dgm:t>
        <a:bodyPr/>
        <a:lstStyle/>
        <a:p>
          <a:endParaRPr lang="en-GB" sz="1200"/>
        </a:p>
      </dgm:t>
    </dgm:pt>
    <dgm:pt modelId="{B7784D2B-818B-499F-B674-92322FA148A1}" type="sibTrans" cxnId="{1A328182-AB44-4087-B7CA-F0BBAF10A9C7}">
      <dgm:prSet/>
      <dgm:spPr/>
      <dgm:t>
        <a:bodyPr/>
        <a:lstStyle/>
        <a:p>
          <a:endParaRPr lang="en-GB" sz="1200"/>
        </a:p>
      </dgm:t>
    </dgm:pt>
    <dgm:pt modelId="{88C73E2D-6C62-409D-9880-9517D8A3FA19}">
      <dgm:prSet phldrT="[Text]" custT="1"/>
      <dgm:spPr/>
      <dgm:t>
        <a:bodyPr/>
        <a:lstStyle/>
        <a:p>
          <a:r>
            <a:rPr lang="en-GB" sz="1600" b="1"/>
            <a:t>Check if renal  patient</a:t>
          </a:r>
        </a:p>
      </dgm:t>
    </dgm:pt>
    <dgm:pt modelId="{D55E8BB1-9754-4C38-A9B5-1D1B926BE6D1}" type="parTrans" cxnId="{3B90C2A5-2C80-40D9-A484-870DE5586057}">
      <dgm:prSet/>
      <dgm:spPr/>
      <dgm:t>
        <a:bodyPr/>
        <a:lstStyle/>
        <a:p>
          <a:endParaRPr lang="en-GB" sz="1200"/>
        </a:p>
      </dgm:t>
    </dgm:pt>
    <dgm:pt modelId="{32E88A61-823D-4191-B2B3-234FA80D73E1}" type="sibTrans" cxnId="{3B90C2A5-2C80-40D9-A484-870DE5586057}">
      <dgm:prSet/>
      <dgm:spPr/>
      <dgm:t>
        <a:bodyPr/>
        <a:lstStyle/>
        <a:p>
          <a:endParaRPr lang="en-GB" sz="1200"/>
        </a:p>
      </dgm:t>
    </dgm:pt>
    <dgm:pt modelId="{57803722-39C2-4602-AA82-C005FA8FFB6D}">
      <dgm:prSet phldrT="[Text]" custT="1"/>
      <dgm:spPr/>
      <dgm:t>
        <a:bodyPr/>
        <a:lstStyle/>
        <a:p>
          <a:r>
            <a:rPr lang="en-GB" sz="1200"/>
            <a:t> Do not supply if patient has chronic kidney disease and is seen by a nephrologist </a:t>
          </a:r>
        </a:p>
      </dgm:t>
    </dgm:pt>
    <dgm:pt modelId="{07367512-538D-4D62-AEF6-D425A92BB33E}" type="parTrans" cxnId="{EC4D1D3D-BD84-4A57-8A9B-AB8603501057}">
      <dgm:prSet/>
      <dgm:spPr/>
      <dgm:t>
        <a:bodyPr/>
        <a:lstStyle/>
        <a:p>
          <a:endParaRPr lang="en-GB" sz="1200"/>
        </a:p>
      </dgm:t>
    </dgm:pt>
    <dgm:pt modelId="{136D6297-B3FA-46FC-ABFE-E512025572EB}" type="sibTrans" cxnId="{EC4D1D3D-BD84-4A57-8A9B-AB8603501057}">
      <dgm:prSet/>
      <dgm:spPr/>
      <dgm:t>
        <a:bodyPr/>
        <a:lstStyle/>
        <a:p>
          <a:endParaRPr lang="en-GB" sz="1200"/>
        </a:p>
      </dgm:t>
    </dgm:pt>
    <dgm:pt modelId="{262CF692-7938-47A9-BF01-78504EA643B0}">
      <dgm:prSet phldrT="[Text]" custT="1"/>
      <dgm:spPr/>
      <dgm:t>
        <a:bodyPr/>
        <a:lstStyle/>
        <a:p>
          <a:r>
            <a:rPr lang="en-GB" sz="1200"/>
            <a:t> Do not supply if taking any anti-epileptics on list above</a:t>
          </a:r>
        </a:p>
      </dgm:t>
    </dgm:pt>
    <dgm:pt modelId="{6D2CD010-CFDF-4B94-9037-6F5690919049}" type="parTrans" cxnId="{4FC8B6F7-EF1A-4AB4-AE79-47437B8CAC34}">
      <dgm:prSet/>
      <dgm:spPr/>
      <dgm:t>
        <a:bodyPr/>
        <a:lstStyle/>
        <a:p>
          <a:endParaRPr lang="en-GB" sz="1200"/>
        </a:p>
      </dgm:t>
    </dgm:pt>
    <dgm:pt modelId="{9F980419-299A-439D-8CAD-041186F66007}" type="sibTrans" cxnId="{4FC8B6F7-EF1A-4AB4-AE79-47437B8CAC34}">
      <dgm:prSet/>
      <dgm:spPr/>
      <dgm:t>
        <a:bodyPr/>
        <a:lstStyle/>
        <a:p>
          <a:endParaRPr lang="en-GB" sz="1200"/>
        </a:p>
      </dgm:t>
    </dgm:pt>
    <dgm:pt modelId="{03BC1D51-1109-4419-8C08-AC16B8A70465}">
      <dgm:prSet phldrT="[Text]" custT="1"/>
      <dgm:spPr/>
      <dgm:t>
        <a:bodyPr/>
        <a:lstStyle/>
        <a:p>
          <a:r>
            <a:rPr lang="en-GB" sz="1600" b="1"/>
            <a:t>Check if on anti-epileptic medication</a:t>
          </a:r>
        </a:p>
      </dgm:t>
    </dgm:pt>
    <dgm:pt modelId="{F1CF2612-BE43-4813-9FB1-BDB9E0086D5E}" type="parTrans" cxnId="{698CFFEB-912B-40B0-B225-7D899F10871D}">
      <dgm:prSet/>
      <dgm:spPr/>
      <dgm:t>
        <a:bodyPr/>
        <a:lstStyle/>
        <a:p>
          <a:endParaRPr lang="en-GB" sz="1200"/>
        </a:p>
      </dgm:t>
    </dgm:pt>
    <dgm:pt modelId="{C7E6B8B0-809B-4194-851A-7A4C2FEDA6DA}" type="sibTrans" cxnId="{698CFFEB-912B-40B0-B225-7D899F10871D}">
      <dgm:prSet/>
      <dgm:spPr/>
      <dgm:t>
        <a:bodyPr/>
        <a:lstStyle/>
        <a:p>
          <a:endParaRPr lang="en-GB" sz="1200"/>
        </a:p>
      </dgm:t>
    </dgm:pt>
    <dgm:pt modelId="{225C0631-176B-47D3-BE35-91D44524E81A}">
      <dgm:prSet phldrT="[Text]" custT="1"/>
      <dgm:spPr/>
      <dgm:t>
        <a:bodyPr/>
        <a:lstStyle/>
        <a:p>
          <a:r>
            <a:rPr lang="en-GB" sz="1600" b="1"/>
            <a:t>Supply tablets for 4 months</a:t>
          </a:r>
        </a:p>
      </dgm:t>
    </dgm:pt>
    <dgm:pt modelId="{7ECC5B15-B6FB-4443-BF02-6D5FDC97404D}" type="parTrans" cxnId="{19B80262-8796-42D4-BB95-2D57E7AAD08E}">
      <dgm:prSet/>
      <dgm:spPr/>
      <dgm:t>
        <a:bodyPr/>
        <a:lstStyle/>
        <a:p>
          <a:endParaRPr lang="en-GB" sz="1200"/>
        </a:p>
      </dgm:t>
    </dgm:pt>
    <dgm:pt modelId="{91F1D1B6-4A5C-423D-8348-7D6F0DF1298B}" type="sibTrans" cxnId="{19B80262-8796-42D4-BB95-2D57E7AAD08E}">
      <dgm:prSet/>
      <dgm:spPr/>
      <dgm:t>
        <a:bodyPr/>
        <a:lstStyle/>
        <a:p>
          <a:endParaRPr lang="en-GB" sz="1200"/>
        </a:p>
      </dgm:t>
    </dgm:pt>
    <dgm:pt modelId="{ECA8D65C-67A2-4F15-8BC2-FB4149EB66BD}">
      <dgm:prSet phldrT="[Text]" custT="1"/>
      <dgm:spPr/>
      <dgm:t>
        <a:bodyPr/>
        <a:lstStyle/>
        <a:p>
          <a:r>
            <a:rPr lang="en-GB" sz="1200"/>
            <a:t>Hypercalcaemia</a:t>
          </a:r>
        </a:p>
      </dgm:t>
    </dgm:pt>
    <dgm:pt modelId="{5034D269-419D-43A1-B209-39C6681966BD}" type="parTrans" cxnId="{FCA5F9C2-7254-443C-BFC5-99046C2098B6}">
      <dgm:prSet/>
      <dgm:spPr/>
      <dgm:t>
        <a:bodyPr/>
        <a:lstStyle/>
        <a:p>
          <a:endParaRPr lang="en-GB" sz="1200"/>
        </a:p>
      </dgm:t>
    </dgm:pt>
    <dgm:pt modelId="{4FEACC12-0545-4A60-9863-F2B33FFDAB19}" type="sibTrans" cxnId="{FCA5F9C2-7254-443C-BFC5-99046C2098B6}">
      <dgm:prSet/>
      <dgm:spPr/>
      <dgm:t>
        <a:bodyPr/>
        <a:lstStyle/>
        <a:p>
          <a:endParaRPr lang="en-GB" sz="1200"/>
        </a:p>
      </dgm:t>
    </dgm:pt>
    <dgm:pt modelId="{7E3C5773-7A40-4795-9E13-68C470B21AAA}">
      <dgm:prSet phldrT="[Text]" custT="1"/>
      <dgm:spPr/>
      <dgm:t>
        <a:bodyPr/>
        <a:lstStyle/>
        <a:p>
          <a:r>
            <a:rPr lang="en-GB" sz="1200"/>
            <a:t>Metastatic calcification </a:t>
          </a:r>
        </a:p>
      </dgm:t>
    </dgm:pt>
    <dgm:pt modelId="{5A739458-BAAC-4904-AC89-8106F44AD113}" type="parTrans" cxnId="{343B581B-37DF-49CD-9F8F-C242A4E43CF5}">
      <dgm:prSet/>
      <dgm:spPr/>
      <dgm:t>
        <a:bodyPr/>
        <a:lstStyle/>
        <a:p>
          <a:endParaRPr lang="en-GB" sz="1200"/>
        </a:p>
      </dgm:t>
    </dgm:pt>
    <dgm:pt modelId="{9E49A3BC-8C08-4F10-9EED-81CD222D2944}" type="sibTrans" cxnId="{343B581B-37DF-49CD-9F8F-C242A4E43CF5}">
      <dgm:prSet/>
      <dgm:spPr/>
      <dgm:t>
        <a:bodyPr/>
        <a:lstStyle/>
        <a:p>
          <a:endParaRPr lang="en-GB" sz="1200"/>
        </a:p>
      </dgm:t>
    </dgm:pt>
    <dgm:pt modelId="{7764044C-F629-4C6D-9043-405278586636}">
      <dgm:prSet phldrT="[Text]" custT="1"/>
      <dgm:spPr/>
      <dgm:t>
        <a:bodyPr/>
        <a:lstStyle/>
        <a:p>
          <a:r>
            <a:rPr lang="en-GB" sz="1600" b="1"/>
            <a:t>Check if already taking vitamin D in any form</a:t>
          </a:r>
        </a:p>
      </dgm:t>
    </dgm:pt>
    <dgm:pt modelId="{A2C6DE74-A874-41E1-B42F-A10B3F369F67}" type="parTrans" cxnId="{7692CE00-54B2-4183-9BA0-1DAA70FE281C}">
      <dgm:prSet/>
      <dgm:spPr/>
      <dgm:t>
        <a:bodyPr/>
        <a:lstStyle/>
        <a:p>
          <a:endParaRPr lang="en-GB"/>
        </a:p>
      </dgm:t>
    </dgm:pt>
    <dgm:pt modelId="{B1C84058-D50B-4A01-9BBE-08BAD2CB04B0}" type="sibTrans" cxnId="{7692CE00-54B2-4183-9BA0-1DAA70FE281C}">
      <dgm:prSet/>
      <dgm:spPr/>
      <dgm:t>
        <a:bodyPr/>
        <a:lstStyle/>
        <a:p>
          <a:endParaRPr lang="en-GB"/>
        </a:p>
      </dgm:t>
    </dgm:pt>
    <dgm:pt modelId="{69AC858D-A9EA-419B-8E47-D9AFAF59F477}">
      <dgm:prSet phldrT="[Text]" custT="1"/>
      <dgm:spPr/>
      <dgm:t>
        <a:bodyPr/>
        <a:lstStyle/>
        <a:p>
          <a:r>
            <a:rPr lang="en-GB" sz="1200" b="0"/>
            <a:t>Do not supply if taking vitamin D with calcium tablets, for example</a:t>
          </a:r>
        </a:p>
      </dgm:t>
    </dgm:pt>
    <dgm:pt modelId="{EC62463F-7F62-468B-8E61-0F2D3FF31AFE}" type="parTrans" cxnId="{39249F5F-C0C7-4F2F-9D8D-DE80D5A57AD3}">
      <dgm:prSet/>
      <dgm:spPr/>
      <dgm:t>
        <a:bodyPr/>
        <a:lstStyle/>
        <a:p>
          <a:endParaRPr lang="en-GB"/>
        </a:p>
      </dgm:t>
    </dgm:pt>
    <dgm:pt modelId="{C396929E-0A0E-4C03-B0C1-033CC80A4E6E}" type="sibTrans" cxnId="{39249F5F-C0C7-4F2F-9D8D-DE80D5A57AD3}">
      <dgm:prSet/>
      <dgm:spPr/>
      <dgm:t>
        <a:bodyPr/>
        <a:lstStyle/>
        <a:p>
          <a:endParaRPr lang="en-GB"/>
        </a:p>
      </dgm:t>
    </dgm:pt>
    <dgm:pt modelId="{3DAEB6E8-7D4E-4599-88B2-5D134AAA51B8}">
      <dgm:prSet phldrT="[Text]" custT="1"/>
      <dgm:spPr/>
      <dgm:t>
        <a:bodyPr/>
        <a:lstStyle/>
        <a:p>
          <a:endParaRPr lang="en-GB" sz="1200"/>
        </a:p>
      </dgm:t>
    </dgm:pt>
    <dgm:pt modelId="{549BDA5A-E549-437A-B54B-F26AADFEFE17}" type="parTrans" cxnId="{CBEE3031-747E-4A96-9EF9-A3EE3E6E09CB}">
      <dgm:prSet/>
      <dgm:spPr/>
      <dgm:t>
        <a:bodyPr/>
        <a:lstStyle/>
        <a:p>
          <a:endParaRPr lang="en-GB"/>
        </a:p>
      </dgm:t>
    </dgm:pt>
    <dgm:pt modelId="{219E8235-7672-41CB-AEB7-412B0C3AF695}" type="sibTrans" cxnId="{CBEE3031-747E-4A96-9EF9-A3EE3E6E09CB}">
      <dgm:prSet/>
      <dgm:spPr/>
      <dgm:t>
        <a:bodyPr/>
        <a:lstStyle/>
        <a:p>
          <a:endParaRPr lang="en-GB"/>
        </a:p>
      </dgm:t>
    </dgm:pt>
    <dgm:pt modelId="{73EBDE59-E8A9-4D15-9500-DEDCEE9C5B00}">
      <dgm:prSet phldrT="[Text]" custT="1"/>
      <dgm:spPr/>
      <dgm:t>
        <a:bodyPr/>
        <a:lstStyle/>
        <a:p>
          <a:r>
            <a:rPr lang="en-GB" sz="1200"/>
            <a:t>Caution if has sarcoidosis</a:t>
          </a:r>
        </a:p>
      </dgm:t>
    </dgm:pt>
    <dgm:pt modelId="{BE19B9F8-18D4-4B46-B965-4DF17A2D2985}" type="parTrans" cxnId="{5070A281-5BA4-4C2E-A2D5-D3669FD40301}">
      <dgm:prSet/>
      <dgm:spPr/>
      <dgm:t>
        <a:bodyPr/>
        <a:lstStyle/>
        <a:p>
          <a:endParaRPr lang="en-GB"/>
        </a:p>
      </dgm:t>
    </dgm:pt>
    <dgm:pt modelId="{F22CB51D-6D7B-4374-9231-CEBE2FB2B6F9}" type="sibTrans" cxnId="{5070A281-5BA4-4C2E-A2D5-D3669FD40301}">
      <dgm:prSet/>
      <dgm:spPr/>
      <dgm:t>
        <a:bodyPr/>
        <a:lstStyle/>
        <a:p>
          <a:endParaRPr lang="en-GB"/>
        </a:p>
      </dgm:t>
    </dgm:pt>
    <dgm:pt modelId="{38379369-5554-43DD-803C-D9C6092EFD6A}">
      <dgm:prSet phldrT="[Text]" custT="1"/>
      <dgm:spPr/>
      <dgm:t>
        <a:bodyPr/>
        <a:lstStyle/>
        <a:p>
          <a:r>
            <a:rPr lang="en-GB" sz="1200" b="0"/>
            <a:t>Log via PharmOutcomes</a:t>
          </a:r>
        </a:p>
      </dgm:t>
    </dgm:pt>
    <dgm:pt modelId="{8339CD54-BFCA-4C37-9087-4C2F3DCD08D5}" type="parTrans" cxnId="{3395CEED-DD89-4FD7-9E7D-1EBF4D6059C8}">
      <dgm:prSet/>
      <dgm:spPr/>
    </dgm:pt>
    <dgm:pt modelId="{2D3CFDDF-1087-4B07-AD20-D6D3DAB91B40}" type="sibTrans" cxnId="{3395CEED-DD89-4FD7-9E7D-1EBF4D6059C8}">
      <dgm:prSet/>
      <dgm:spPr/>
    </dgm:pt>
    <dgm:pt modelId="{45AAD63E-3A1A-4F02-A3EE-7C046C14C701}" type="pres">
      <dgm:prSet presAssocID="{8D0625AE-2906-43F3-A085-C7B6FF01AE15}" presName="Name0" presStyleCnt="0">
        <dgm:presLayoutVars>
          <dgm:chMax val="7"/>
          <dgm:chPref val="7"/>
          <dgm:dir/>
        </dgm:presLayoutVars>
      </dgm:prSet>
      <dgm:spPr/>
    </dgm:pt>
    <dgm:pt modelId="{BD547F78-C778-4430-8E0A-1E2A0D40AC25}" type="pres">
      <dgm:prSet presAssocID="{8D0625AE-2906-43F3-A085-C7B6FF01AE15}" presName="Name1" presStyleCnt="0"/>
      <dgm:spPr/>
    </dgm:pt>
    <dgm:pt modelId="{A52FE015-91FA-49E5-8E43-B4B558590CB0}" type="pres">
      <dgm:prSet presAssocID="{8D0625AE-2906-43F3-A085-C7B6FF01AE15}" presName="cycle" presStyleCnt="0"/>
      <dgm:spPr/>
    </dgm:pt>
    <dgm:pt modelId="{DB39BEC0-60D3-4F9D-9A01-1BDF3320C337}" type="pres">
      <dgm:prSet presAssocID="{8D0625AE-2906-43F3-A085-C7B6FF01AE15}" presName="srcNode" presStyleLbl="node1" presStyleIdx="0" presStyleCnt="6"/>
      <dgm:spPr/>
    </dgm:pt>
    <dgm:pt modelId="{104B32F2-672C-486A-B960-5E7C1E664FD6}" type="pres">
      <dgm:prSet presAssocID="{8D0625AE-2906-43F3-A085-C7B6FF01AE15}" presName="conn" presStyleLbl="parChTrans1D2" presStyleIdx="0" presStyleCnt="1"/>
      <dgm:spPr/>
    </dgm:pt>
    <dgm:pt modelId="{B4DE3936-E4FD-4BAC-BEFB-9701433AED5E}" type="pres">
      <dgm:prSet presAssocID="{8D0625AE-2906-43F3-A085-C7B6FF01AE15}" presName="extraNode" presStyleLbl="node1" presStyleIdx="0" presStyleCnt="6"/>
      <dgm:spPr/>
    </dgm:pt>
    <dgm:pt modelId="{62C39337-3E19-4A26-B75D-C70A98B8C921}" type="pres">
      <dgm:prSet presAssocID="{8D0625AE-2906-43F3-A085-C7B6FF01AE15}" presName="dstNode" presStyleLbl="node1" presStyleIdx="0" presStyleCnt="6"/>
      <dgm:spPr/>
    </dgm:pt>
    <dgm:pt modelId="{F0803344-6220-4BF7-BF37-213087CDCD00}" type="pres">
      <dgm:prSet presAssocID="{D6518E91-51C7-4F97-8373-C78AE26A3C97}" presName="text_1" presStyleLbl="node1" presStyleIdx="0" presStyleCnt="6">
        <dgm:presLayoutVars>
          <dgm:bulletEnabled val="1"/>
        </dgm:presLayoutVars>
      </dgm:prSet>
      <dgm:spPr/>
    </dgm:pt>
    <dgm:pt modelId="{2868C7AC-E3CF-4D50-B29A-1DA54B9A0ABE}" type="pres">
      <dgm:prSet presAssocID="{D6518E91-51C7-4F97-8373-C78AE26A3C97}" presName="accent_1" presStyleCnt="0"/>
      <dgm:spPr/>
    </dgm:pt>
    <dgm:pt modelId="{2DE877F0-5280-42F1-8CD0-A951260F9E7E}" type="pres">
      <dgm:prSet presAssocID="{D6518E91-51C7-4F97-8373-C78AE26A3C97}" presName="accentRepeatNode" presStyleLbl="solidFgAcc1" presStyleIdx="0" presStyleCnt="6"/>
      <dgm:spPr/>
    </dgm:pt>
    <dgm:pt modelId="{13D75AEE-6714-46BF-905C-FA7158434891}" type="pres">
      <dgm:prSet presAssocID="{7764044C-F629-4C6D-9043-405278586636}" presName="text_2" presStyleLbl="node1" presStyleIdx="1" presStyleCnt="6" custScaleY="130217">
        <dgm:presLayoutVars>
          <dgm:bulletEnabled val="1"/>
        </dgm:presLayoutVars>
      </dgm:prSet>
      <dgm:spPr/>
    </dgm:pt>
    <dgm:pt modelId="{050AD87F-C6CC-4E43-A710-17230CC757EB}" type="pres">
      <dgm:prSet presAssocID="{7764044C-F629-4C6D-9043-405278586636}" presName="accent_2" presStyleCnt="0"/>
      <dgm:spPr/>
    </dgm:pt>
    <dgm:pt modelId="{014AA5A2-7EC3-4F0B-8EAB-90D2E03A25CE}" type="pres">
      <dgm:prSet presAssocID="{7764044C-F629-4C6D-9043-405278586636}" presName="accentRepeatNode" presStyleLbl="solidFgAcc1" presStyleIdx="1" presStyleCnt="6"/>
      <dgm:spPr/>
    </dgm:pt>
    <dgm:pt modelId="{5EE13ECC-42FF-49F9-8EAB-6A2C52B2D190}" type="pres">
      <dgm:prSet presAssocID="{589CBD57-04C2-46E8-BFFA-55B5A6659F9B}" presName="text_3" presStyleLbl="node1" presStyleIdx="2" presStyleCnt="6" custScaleY="133517">
        <dgm:presLayoutVars>
          <dgm:bulletEnabled val="1"/>
        </dgm:presLayoutVars>
      </dgm:prSet>
      <dgm:spPr/>
    </dgm:pt>
    <dgm:pt modelId="{EECADB95-7922-4499-BCA1-C22817ECD17F}" type="pres">
      <dgm:prSet presAssocID="{589CBD57-04C2-46E8-BFFA-55B5A6659F9B}" presName="accent_3" presStyleCnt="0"/>
      <dgm:spPr/>
    </dgm:pt>
    <dgm:pt modelId="{7744917C-F975-4013-A687-83EE9E70CD5A}" type="pres">
      <dgm:prSet presAssocID="{589CBD57-04C2-46E8-BFFA-55B5A6659F9B}" presName="accentRepeatNode" presStyleLbl="solidFgAcc1" presStyleIdx="2" presStyleCnt="6"/>
      <dgm:spPr/>
    </dgm:pt>
    <dgm:pt modelId="{3CEE8790-2356-4688-95B4-1FB5A47944DB}" type="pres">
      <dgm:prSet presAssocID="{88C73E2D-6C62-409D-9880-9517D8A3FA19}" presName="text_4" presStyleLbl="node1" presStyleIdx="3" presStyleCnt="6">
        <dgm:presLayoutVars>
          <dgm:bulletEnabled val="1"/>
        </dgm:presLayoutVars>
      </dgm:prSet>
      <dgm:spPr/>
    </dgm:pt>
    <dgm:pt modelId="{34C402D8-06C3-4B52-9907-CCE9F5E51232}" type="pres">
      <dgm:prSet presAssocID="{88C73E2D-6C62-409D-9880-9517D8A3FA19}" presName="accent_4" presStyleCnt="0"/>
      <dgm:spPr/>
    </dgm:pt>
    <dgm:pt modelId="{E018FF6D-BFD1-44FF-9A05-9A77E47CF4F6}" type="pres">
      <dgm:prSet presAssocID="{88C73E2D-6C62-409D-9880-9517D8A3FA19}" presName="accentRepeatNode" presStyleLbl="solidFgAcc1" presStyleIdx="3" presStyleCnt="6"/>
      <dgm:spPr/>
    </dgm:pt>
    <dgm:pt modelId="{2EEA6DEC-8767-4937-A5D9-340EA9E34415}" type="pres">
      <dgm:prSet presAssocID="{03BC1D51-1109-4419-8C08-AC16B8A70465}" presName="text_5" presStyleLbl="node1" presStyleIdx="4" presStyleCnt="6">
        <dgm:presLayoutVars>
          <dgm:bulletEnabled val="1"/>
        </dgm:presLayoutVars>
      </dgm:prSet>
      <dgm:spPr/>
    </dgm:pt>
    <dgm:pt modelId="{D27C2D18-1681-4679-BA10-970EDC36018C}" type="pres">
      <dgm:prSet presAssocID="{03BC1D51-1109-4419-8C08-AC16B8A70465}" presName="accent_5" presStyleCnt="0"/>
      <dgm:spPr/>
    </dgm:pt>
    <dgm:pt modelId="{BBC40767-5B12-4B7B-A2CB-AA52CA4FBC5A}" type="pres">
      <dgm:prSet presAssocID="{03BC1D51-1109-4419-8C08-AC16B8A70465}" presName="accentRepeatNode" presStyleLbl="solidFgAcc1" presStyleIdx="4" presStyleCnt="6"/>
      <dgm:spPr/>
    </dgm:pt>
    <dgm:pt modelId="{A738D3E8-916C-4C00-8C79-8D0AB376A331}" type="pres">
      <dgm:prSet presAssocID="{225C0631-176B-47D3-BE35-91D44524E81A}" presName="text_6" presStyleLbl="node1" presStyleIdx="5" presStyleCnt="6">
        <dgm:presLayoutVars>
          <dgm:bulletEnabled val="1"/>
        </dgm:presLayoutVars>
      </dgm:prSet>
      <dgm:spPr/>
    </dgm:pt>
    <dgm:pt modelId="{847A8DF3-A00F-4EB9-8ED1-765E0A8B7597}" type="pres">
      <dgm:prSet presAssocID="{225C0631-176B-47D3-BE35-91D44524E81A}" presName="accent_6" presStyleCnt="0"/>
      <dgm:spPr/>
    </dgm:pt>
    <dgm:pt modelId="{9A395437-15DF-4CA1-9DF7-3EC62821CB7E}" type="pres">
      <dgm:prSet presAssocID="{225C0631-176B-47D3-BE35-91D44524E81A}" presName="accentRepeatNode" presStyleLbl="solidFgAcc1" presStyleIdx="5" presStyleCnt="6"/>
      <dgm:spPr/>
    </dgm:pt>
  </dgm:ptLst>
  <dgm:cxnLst>
    <dgm:cxn modelId="{7692CE00-54B2-4183-9BA0-1DAA70FE281C}" srcId="{8D0625AE-2906-43F3-A085-C7B6FF01AE15}" destId="{7764044C-F629-4C6D-9043-405278586636}" srcOrd="1" destOrd="0" parTransId="{A2C6DE74-A874-41E1-B42F-A10B3F369F67}" sibTransId="{B1C84058-D50B-4A01-9BBE-08BAD2CB04B0}"/>
    <dgm:cxn modelId="{0A419002-8FA4-4177-9F83-7DFED1A7AB99}" type="presOf" srcId="{69AC858D-A9EA-419B-8E47-D9AFAF59F477}" destId="{13D75AEE-6714-46BF-905C-FA7158434891}" srcOrd="0" destOrd="1" presId="urn:microsoft.com/office/officeart/2008/layout/VerticalCurvedList"/>
    <dgm:cxn modelId="{343B581B-37DF-49CD-9F8F-C242A4E43CF5}" srcId="{589CBD57-04C2-46E8-BFFA-55B5A6659F9B}" destId="{7E3C5773-7A40-4795-9E13-68C470B21AAA}" srcOrd="1" destOrd="0" parTransId="{5A739458-BAAC-4904-AC89-8106F44AD113}" sibTransId="{9E49A3BC-8C08-4F10-9EED-81CD222D2944}"/>
    <dgm:cxn modelId="{625A372D-5EC2-4FA0-AE85-4AB9F11AD0BA}" type="presOf" srcId="{7E3C5773-7A40-4795-9E13-68C470B21AAA}" destId="{5EE13ECC-42FF-49F9-8EAB-6A2C52B2D190}" srcOrd="0" destOrd="2" presId="urn:microsoft.com/office/officeart/2008/layout/VerticalCurvedList"/>
    <dgm:cxn modelId="{CBEE3031-747E-4A96-9EF9-A3EE3E6E09CB}" srcId="{589CBD57-04C2-46E8-BFFA-55B5A6659F9B}" destId="{3DAEB6E8-7D4E-4599-88B2-5D134AAA51B8}" srcOrd="3" destOrd="0" parTransId="{549BDA5A-E549-437A-B54B-F26AADFEFE17}" sibTransId="{219E8235-7672-41CB-AEB7-412B0C3AF695}"/>
    <dgm:cxn modelId="{EF64DA34-F050-47EE-A45A-D84685E904D2}" type="presOf" srcId="{03BC1D51-1109-4419-8C08-AC16B8A70465}" destId="{2EEA6DEC-8767-4937-A5D9-340EA9E34415}" srcOrd="0" destOrd="0" presId="urn:microsoft.com/office/officeart/2008/layout/VerticalCurvedList"/>
    <dgm:cxn modelId="{C719C939-D424-4658-AD60-A7EF7FCFA411}" type="presOf" srcId="{B2CAFA15-28B3-4EFE-848E-F6479138C739}" destId="{104B32F2-672C-486A-B960-5E7C1E664FD6}" srcOrd="0" destOrd="0" presId="urn:microsoft.com/office/officeart/2008/layout/VerticalCurvedList"/>
    <dgm:cxn modelId="{EC4D1D3D-BD84-4A57-8A9B-AB8603501057}" srcId="{88C73E2D-6C62-409D-9880-9517D8A3FA19}" destId="{57803722-39C2-4602-AA82-C005FA8FFB6D}" srcOrd="0" destOrd="0" parTransId="{07367512-538D-4D62-AEF6-D425A92BB33E}" sibTransId="{136D6297-B3FA-46FC-ABFE-E512025572EB}"/>
    <dgm:cxn modelId="{39249F5F-C0C7-4F2F-9D8D-DE80D5A57AD3}" srcId="{7764044C-F629-4C6D-9043-405278586636}" destId="{69AC858D-A9EA-419B-8E47-D9AFAF59F477}" srcOrd="0" destOrd="0" parTransId="{EC62463F-7F62-468B-8E61-0F2D3FF31AFE}" sibTransId="{C396929E-0A0E-4C03-B0C1-033CC80A4E6E}"/>
    <dgm:cxn modelId="{A5EBD161-459B-4CFD-9CCC-F535039B0B0C}" type="presOf" srcId="{589CBD57-04C2-46E8-BFFA-55B5A6659F9B}" destId="{5EE13ECC-42FF-49F9-8EAB-6A2C52B2D190}" srcOrd="0" destOrd="0" presId="urn:microsoft.com/office/officeart/2008/layout/VerticalCurvedList"/>
    <dgm:cxn modelId="{19B80262-8796-42D4-BB95-2D57E7AAD08E}" srcId="{8D0625AE-2906-43F3-A085-C7B6FF01AE15}" destId="{225C0631-176B-47D3-BE35-91D44524E81A}" srcOrd="5" destOrd="0" parTransId="{7ECC5B15-B6FB-4443-BF02-6D5FDC97404D}" sibTransId="{91F1D1B6-4A5C-423D-8348-7D6F0DF1298B}"/>
    <dgm:cxn modelId="{FD359744-97DB-4ED9-B0A5-0BBC9C2A3558}" type="presOf" srcId="{D6518E91-51C7-4F97-8373-C78AE26A3C97}" destId="{F0803344-6220-4BF7-BF37-213087CDCD00}" srcOrd="0" destOrd="0" presId="urn:microsoft.com/office/officeart/2008/layout/VerticalCurvedList"/>
    <dgm:cxn modelId="{BB1BC346-3A0F-4A64-A494-4B2E12F327B8}" type="presOf" srcId="{38379369-5554-43DD-803C-D9C6092EFD6A}" destId="{A738D3E8-916C-4C00-8C79-8D0AB376A331}" srcOrd="0" destOrd="1" presId="urn:microsoft.com/office/officeart/2008/layout/VerticalCurvedList"/>
    <dgm:cxn modelId="{D8DA8A48-F8E4-4256-A032-58720A5DAD1B}" type="presOf" srcId="{262CF692-7938-47A9-BF01-78504EA643B0}" destId="{2EEA6DEC-8767-4937-A5D9-340EA9E34415}" srcOrd="0" destOrd="1" presId="urn:microsoft.com/office/officeart/2008/layout/VerticalCurvedList"/>
    <dgm:cxn modelId="{C3F9C248-BD18-45DD-BA74-CBBDA7A81F86}" type="presOf" srcId="{88C73E2D-6C62-409D-9880-9517D8A3FA19}" destId="{3CEE8790-2356-4688-95B4-1FB5A47944DB}" srcOrd="0" destOrd="0" presId="urn:microsoft.com/office/officeart/2008/layout/VerticalCurvedList"/>
    <dgm:cxn modelId="{8C144B6C-BDEE-4A1B-9B0E-40782725BCE5}" type="presOf" srcId="{57803722-39C2-4602-AA82-C005FA8FFB6D}" destId="{3CEE8790-2356-4688-95B4-1FB5A47944DB}" srcOrd="0" destOrd="1" presId="urn:microsoft.com/office/officeart/2008/layout/VerticalCurvedList"/>
    <dgm:cxn modelId="{5070A281-5BA4-4C2E-A2D5-D3669FD40301}" srcId="{589CBD57-04C2-46E8-BFFA-55B5A6659F9B}" destId="{73EBDE59-E8A9-4D15-9500-DEDCEE9C5B00}" srcOrd="2" destOrd="0" parTransId="{BE19B9F8-18D4-4B46-B965-4DF17A2D2985}" sibTransId="{F22CB51D-6D7B-4374-9231-CEBE2FB2B6F9}"/>
    <dgm:cxn modelId="{1A328182-AB44-4087-B7CA-F0BBAF10A9C7}" srcId="{8D0625AE-2906-43F3-A085-C7B6FF01AE15}" destId="{589CBD57-04C2-46E8-BFFA-55B5A6659F9B}" srcOrd="2" destOrd="0" parTransId="{76D79E5E-FBEF-460C-A62D-E6800C638546}" sibTransId="{B7784D2B-818B-499F-B674-92322FA148A1}"/>
    <dgm:cxn modelId="{3FAF1C9D-6F63-43B3-90BC-CC1E33426B70}" type="presOf" srcId="{3DAEB6E8-7D4E-4599-88B2-5D134AAA51B8}" destId="{5EE13ECC-42FF-49F9-8EAB-6A2C52B2D190}" srcOrd="0" destOrd="4" presId="urn:microsoft.com/office/officeart/2008/layout/VerticalCurvedList"/>
    <dgm:cxn modelId="{3B90C2A5-2C80-40D9-A484-870DE5586057}" srcId="{8D0625AE-2906-43F3-A085-C7B6FF01AE15}" destId="{88C73E2D-6C62-409D-9880-9517D8A3FA19}" srcOrd="3" destOrd="0" parTransId="{D55E8BB1-9754-4C38-A9B5-1D1B926BE6D1}" sibTransId="{32E88A61-823D-4191-B2B3-234FA80D73E1}"/>
    <dgm:cxn modelId="{E3F890B9-F030-4318-8DB3-57BD3DF79F81}" srcId="{8D0625AE-2906-43F3-A085-C7B6FF01AE15}" destId="{D6518E91-51C7-4F97-8373-C78AE26A3C97}" srcOrd="0" destOrd="0" parTransId="{1E6B958D-A8E5-4DD2-A652-8B5A081C9BF4}" sibTransId="{B2CAFA15-28B3-4EFE-848E-F6479138C739}"/>
    <dgm:cxn modelId="{FCA5F9C2-7254-443C-BFC5-99046C2098B6}" srcId="{589CBD57-04C2-46E8-BFFA-55B5A6659F9B}" destId="{ECA8D65C-67A2-4F15-8BC2-FB4149EB66BD}" srcOrd="0" destOrd="0" parTransId="{5034D269-419D-43A1-B209-39C6681966BD}" sibTransId="{4FEACC12-0545-4A60-9863-F2B33FFDAB19}"/>
    <dgm:cxn modelId="{E14557C6-BF8E-43C8-A106-5EEA9DB1D78C}" type="presOf" srcId="{ECA8D65C-67A2-4F15-8BC2-FB4149EB66BD}" destId="{5EE13ECC-42FF-49F9-8EAB-6A2C52B2D190}" srcOrd="0" destOrd="1" presId="urn:microsoft.com/office/officeart/2008/layout/VerticalCurvedList"/>
    <dgm:cxn modelId="{698CFFEB-912B-40B0-B225-7D899F10871D}" srcId="{8D0625AE-2906-43F3-A085-C7B6FF01AE15}" destId="{03BC1D51-1109-4419-8C08-AC16B8A70465}" srcOrd="4" destOrd="0" parTransId="{F1CF2612-BE43-4813-9FB1-BDB9E0086D5E}" sibTransId="{C7E6B8B0-809B-4194-851A-7A4C2FEDA6DA}"/>
    <dgm:cxn modelId="{DE20BDED-13F7-4B35-BC80-3146372CCF0F}" type="presOf" srcId="{225C0631-176B-47D3-BE35-91D44524E81A}" destId="{A738D3E8-916C-4C00-8C79-8D0AB376A331}" srcOrd="0" destOrd="0" presId="urn:microsoft.com/office/officeart/2008/layout/VerticalCurvedList"/>
    <dgm:cxn modelId="{3395CEED-DD89-4FD7-9E7D-1EBF4D6059C8}" srcId="{225C0631-176B-47D3-BE35-91D44524E81A}" destId="{38379369-5554-43DD-803C-D9C6092EFD6A}" srcOrd="0" destOrd="0" parTransId="{8339CD54-BFCA-4C37-9087-4C2F3DCD08D5}" sibTransId="{2D3CFDDF-1087-4B07-AD20-D6D3DAB91B40}"/>
    <dgm:cxn modelId="{7C6FE6ED-1CC7-4DEF-A2F2-D8CAB8A5506B}" type="presOf" srcId="{8D0625AE-2906-43F3-A085-C7B6FF01AE15}" destId="{45AAD63E-3A1A-4F02-A3EE-7C046C14C701}" srcOrd="0" destOrd="0" presId="urn:microsoft.com/office/officeart/2008/layout/VerticalCurvedList"/>
    <dgm:cxn modelId="{FC2CB0F2-0969-4882-9706-FAA4D7A14617}" type="presOf" srcId="{7764044C-F629-4C6D-9043-405278586636}" destId="{13D75AEE-6714-46BF-905C-FA7158434891}" srcOrd="0" destOrd="0" presId="urn:microsoft.com/office/officeart/2008/layout/VerticalCurvedList"/>
    <dgm:cxn modelId="{DC3D2BF3-B2C2-4E64-AAED-C6060B2F85BE}" type="presOf" srcId="{73EBDE59-E8A9-4D15-9500-DEDCEE9C5B00}" destId="{5EE13ECC-42FF-49F9-8EAB-6A2C52B2D190}" srcOrd="0" destOrd="3" presId="urn:microsoft.com/office/officeart/2008/layout/VerticalCurvedList"/>
    <dgm:cxn modelId="{4FC8B6F7-EF1A-4AB4-AE79-47437B8CAC34}" srcId="{03BC1D51-1109-4419-8C08-AC16B8A70465}" destId="{262CF692-7938-47A9-BF01-78504EA643B0}" srcOrd="0" destOrd="0" parTransId="{6D2CD010-CFDF-4B94-9037-6F5690919049}" sibTransId="{9F980419-299A-439D-8CAD-041186F66007}"/>
    <dgm:cxn modelId="{0A1A733F-1DF0-457D-8C8D-462CB47EAC47}" type="presParOf" srcId="{45AAD63E-3A1A-4F02-A3EE-7C046C14C701}" destId="{BD547F78-C778-4430-8E0A-1E2A0D40AC25}" srcOrd="0" destOrd="0" presId="urn:microsoft.com/office/officeart/2008/layout/VerticalCurvedList"/>
    <dgm:cxn modelId="{2113C435-03B5-4672-BA0D-D5C48151F08B}" type="presParOf" srcId="{BD547F78-C778-4430-8E0A-1E2A0D40AC25}" destId="{A52FE015-91FA-49E5-8E43-B4B558590CB0}" srcOrd="0" destOrd="0" presId="urn:microsoft.com/office/officeart/2008/layout/VerticalCurvedList"/>
    <dgm:cxn modelId="{EBE7E8D1-DE07-4433-BD96-8E949681DA07}" type="presParOf" srcId="{A52FE015-91FA-49E5-8E43-B4B558590CB0}" destId="{DB39BEC0-60D3-4F9D-9A01-1BDF3320C337}" srcOrd="0" destOrd="0" presId="urn:microsoft.com/office/officeart/2008/layout/VerticalCurvedList"/>
    <dgm:cxn modelId="{96A7BCDF-FAF6-410A-9343-6BB41D44B4CE}" type="presParOf" srcId="{A52FE015-91FA-49E5-8E43-B4B558590CB0}" destId="{104B32F2-672C-486A-B960-5E7C1E664FD6}" srcOrd="1" destOrd="0" presId="urn:microsoft.com/office/officeart/2008/layout/VerticalCurvedList"/>
    <dgm:cxn modelId="{81D4CBE1-6DCB-488A-B135-D2736944D8B2}" type="presParOf" srcId="{A52FE015-91FA-49E5-8E43-B4B558590CB0}" destId="{B4DE3936-E4FD-4BAC-BEFB-9701433AED5E}" srcOrd="2" destOrd="0" presId="urn:microsoft.com/office/officeart/2008/layout/VerticalCurvedList"/>
    <dgm:cxn modelId="{F3050726-070F-48B5-AA74-38361E8F7B05}" type="presParOf" srcId="{A52FE015-91FA-49E5-8E43-B4B558590CB0}" destId="{62C39337-3E19-4A26-B75D-C70A98B8C921}" srcOrd="3" destOrd="0" presId="urn:microsoft.com/office/officeart/2008/layout/VerticalCurvedList"/>
    <dgm:cxn modelId="{4DA31748-12ED-4966-8E4B-358F2B5EA11D}" type="presParOf" srcId="{BD547F78-C778-4430-8E0A-1E2A0D40AC25}" destId="{F0803344-6220-4BF7-BF37-213087CDCD00}" srcOrd="1" destOrd="0" presId="urn:microsoft.com/office/officeart/2008/layout/VerticalCurvedList"/>
    <dgm:cxn modelId="{18F338F9-7CB4-4BD6-94DC-7A106444900C}" type="presParOf" srcId="{BD547F78-C778-4430-8E0A-1E2A0D40AC25}" destId="{2868C7AC-E3CF-4D50-B29A-1DA54B9A0ABE}" srcOrd="2" destOrd="0" presId="urn:microsoft.com/office/officeart/2008/layout/VerticalCurvedList"/>
    <dgm:cxn modelId="{EA757460-6ACA-42A9-B261-BF813D49FC6F}" type="presParOf" srcId="{2868C7AC-E3CF-4D50-B29A-1DA54B9A0ABE}" destId="{2DE877F0-5280-42F1-8CD0-A951260F9E7E}" srcOrd="0" destOrd="0" presId="urn:microsoft.com/office/officeart/2008/layout/VerticalCurvedList"/>
    <dgm:cxn modelId="{5ADFA4B1-F653-4CD5-97A0-867D4B92904A}" type="presParOf" srcId="{BD547F78-C778-4430-8E0A-1E2A0D40AC25}" destId="{13D75AEE-6714-46BF-905C-FA7158434891}" srcOrd="3" destOrd="0" presId="urn:microsoft.com/office/officeart/2008/layout/VerticalCurvedList"/>
    <dgm:cxn modelId="{DFD41EAB-C08B-4AC5-B71A-C67FF14B6EF1}" type="presParOf" srcId="{BD547F78-C778-4430-8E0A-1E2A0D40AC25}" destId="{050AD87F-C6CC-4E43-A710-17230CC757EB}" srcOrd="4" destOrd="0" presId="urn:microsoft.com/office/officeart/2008/layout/VerticalCurvedList"/>
    <dgm:cxn modelId="{9E7C3A42-B948-497D-A08A-7643697A3411}" type="presParOf" srcId="{050AD87F-C6CC-4E43-A710-17230CC757EB}" destId="{014AA5A2-7EC3-4F0B-8EAB-90D2E03A25CE}" srcOrd="0" destOrd="0" presId="urn:microsoft.com/office/officeart/2008/layout/VerticalCurvedList"/>
    <dgm:cxn modelId="{DF777A7C-A581-4E2B-BDE6-8D73F2272094}" type="presParOf" srcId="{BD547F78-C778-4430-8E0A-1E2A0D40AC25}" destId="{5EE13ECC-42FF-49F9-8EAB-6A2C52B2D190}" srcOrd="5" destOrd="0" presId="urn:microsoft.com/office/officeart/2008/layout/VerticalCurvedList"/>
    <dgm:cxn modelId="{3594D8E3-81B9-4366-8CCD-B2FDB0C73779}" type="presParOf" srcId="{BD547F78-C778-4430-8E0A-1E2A0D40AC25}" destId="{EECADB95-7922-4499-BCA1-C22817ECD17F}" srcOrd="6" destOrd="0" presId="urn:microsoft.com/office/officeart/2008/layout/VerticalCurvedList"/>
    <dgm:cxn modelId="{12F3E55A-7B6B-4501-AC6D-D144CDDECF6A}" type="presParOf" srcId="{EECADB95-7922-4499-BCA1-C22817ECD17F}" destId="{7744917C-F975-4013-A687-83EE9E70CD5A}" srcOrd="0" destOrd="0" presId="urn:microsoft.com/office/officeart/2008/layout/VerticalCurvedList"/>
    <dgm:cxn modelId="{2BFF692C-D4CC-4F1D-88C9-71326E4F9BD6}" type="presParOf" srcId="{BD547F78-C778-4430-8E0A-1E2A0D40AC25}" destId="{3CEE8790-2356-4688-95B4-1FB5A47944DB}" srcOrd="7" destOrd="0" presId="urn:microsoft.com/office/officeart/2008/layout/VerticalCurvedList"/>
    <dgm:cxn modelId="{07A1E7B8-B3A2-4570-AA5B-5C77B7C38AB5}" type="presParOf" srcId="{BD547F78-C778-4430-8E0A-1E2A0D40AC25}" destId="{34C402D8-06C3-4B52-9907-CCE9F5E51232}" srcOrd="8" destOrd="0" presId="urn:microsoft.com/office/officeart/2008/layout/VerticalCurvedList"/>
    <dgm:cxn modelId="{1755410D-2D99-4617-902F-793AF3930A33}" type="presParOf" srcId="{34C402D8-06C3-4B52-9907-CCE9F5E51232}" destId="{E018FF6D-BFD1-44FF-9A05-9A77E47CF4F6}" srcOrd="0" destOrd="0" presId="urn:microsoft.com/office/officeart/2008/layout/VerticalCurvedList"/>
    <dgm:cxn modelId="{275DD1DE-FA9F-46E7-B3E9-BA204B04B988}" type="presParOf" srcId="{BD547F78-C778-4430-8E0A-1E2A0D40AC25}" destId="{2EEA6DEC-8767-4937-A5D9-340EA9E34415}" srcOrd="9" destOrd="0" presId="urn:microsoft.com/office/officeart/2008/layout/VerticalCurvedList"/>
    <dgm:cxn modelId="{3E587677-9A7D-4569-A30B-DC6EAC051A38}" type="presParOf" srcId="{BD547F78-C778-4430-8E0A-1E2A0D40AC25}" destId="{D27C2D18-1681-4679-BA10-970EDC36018C}" srcOrd="10" destOrd="0" presId="urn:microsoft.com/office/officeart/2008/layout/VerticalCurvedList"/>
    <dgm:cxn modelId="{66C9CA93-49E2-4DC0-8A53-0C765CD07022}" type="presParOf" srcId="{D27C2D18-1681-4679-BA10-970EDC36018C}" destId="{BBC40767-5B12-4B7B-A2CB-AA52CA4FBC5A}" srcOrd="0" destOrd="0" presId="urn:microsoft.com/office/officeart/2008/layout/VerticalCurvedList"/>
    <dgm:cxn modelId="{D5FCC126-A88C-4B4F-85B0-8EAEE18044F5}" type="presParOf" srcId="{BD547F78-C778-4430-8E0A-1E2A0D40AC25}" destId="{A738D3E8-916C-4C00-8C79-8D0AB376A331}" srcOrd="11" destOrd="0" presId="urn:microsoft.com/office/officeart/2008/layout/VerticalCurvedList"/>
    <dgm:cxn modelId="{707DD767-9A58-413E-B98A-7E5F213FE0D1}" type="presParOf" srcId="{BD547F78-C778-4430-8E0A-1E2A0D40AC25}" destId="{847A8DF3-A00F-4EB9-8ED1-765E0A8B7597}" srcOrd="12" destOrd="0" presId="urn:microsoft.com/office/officeart/2008/layout/VerticalCurvedList"/>
    <dgm:cxn modelId="{7065F1F4-512D-435F-86F6-2A377FD49302}" type="presParOf" srcId="{847A8DF3-A00F-4EB9-8ED1-765E0A8B7597}" destId="{9A395437-15DF-4CA1-9DF7-3EC62821CB7E}" srcOrd="0" destOrd="0" presId="urn:microsoft.com/office/officeart/2008/layout/VerticalCurv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4B32F2-672C-486A-B960-5E7C1E664FD6}">
      <dsp:nvSpPr>
        <dsp:cNvPr id="0" name=""/>
        <dsp:cNvSpPr/>
      </dsp:nvSpPr>
      <dsp:spPr>
        <a:xfrm>
          <a:off x="-7915253" y="-776162"/>
          <a:ext cx="9419976" cy="9419976"/>
        </a:xfrm>
        <a:prstGeom prst="blockArc">
          <a:avLst>
            <a:gd name="adj1" fmla="val 18900000"/>
            <a:gd name="adj2" fmla="val 2700000"/>
            <a:gd name="adj3" fmla="val 229"/>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803344-6220-4BF7-BF37-213087CDCD00}">
      <dsp:nvSpPr>
        <dsp:cNvPr id="0" name=""/>
        <dsp:cNvSpPr/>
      </dsp:nvSpPr>
      <dsp:spPr>
        <a:xfrm>
          <a:off x="560420" y="802053"/>
          <a:ext cx="4940517" cy="7370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5035" tIns="40640" rIns="40640" bIns="40640" numCol="1" spcCol="1270" anchor="ctr" anchorCtr="0">
          <a:noAutofit/>
        </a:bodyPr>
        <a:lstStyle/>
        <a:p>
          <a:pPr marL="0" lvl="0" indent="0" algn="l" defTabSz="711200">
            <a:lnSpc>
              <a:spcPct val="90000"/>
            </a:lnSpc>
            <a:spcBef>
              <a:spcPct val="0"/>
            </a:spcBef>
            <a:spcAft>
              <a:spcPct val="35000"/>
            </a:spcAft>
            <a:buNone/>
          </a:pPr>
          <a:r>
            <a:rPr lang="en-GB" sz="1600" b="1" kern="1200"/>
            <a:t>Check voucher</a:t>
          </a:r>
        </a:p>
      </dsp:txBody>
      <dsp:txXfrm>
        <a:off x="560420" y="802053"/>
        <a:ext cx="4940517" cy="737052"/>
      </dsp:txXfrm>
    </dsp:sp>
    <dsp:sp modelId="{2DE877F0-5280-42F1-8CD0-A951260F9E7E}">
      <dsp:nvSpPr>
        <dsp:cNvPr id="0" name=""/>
        <dsp:cNvSpPr/>
      </dsp:nvSpPr>
      <dsp:spPr>
        <a:xfrm>
          <a:off x="99762" y="709922"/>
          <a:ext cx="921315" cy="92131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3D75AEE-6714-46BF-905C-FA7158434891}">
      <dsp:nvSpPr>
        <dsp:cNvPr id="0" name=""/>
        <dsp:cNvSpPr/>
      </dsp:nvSpPr>
      <dsp:spPr>
        <a:xfrm>
          <a:off x="1166695" y="1796134"/>
          <a:ext cx="4334241" cy="9597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5035" tIns="40640" rIns="40640" bIns="40640" numCol="1" spcCol="1270" anchor="t" anchorCtr="0">
          <a:noAutofit/>
        </a:bodyPr>
        <a:lstStyle/>
        <a:p>
          <a:pPr marL="0" lvl="0" indent="0" algn="l" defTabSz="711200">
            <a:lnSpc>
              <a:spcPct val="90000"/>
            </a:lnSpc>
            <a:spcBef>
              <a:spcPct val="0"/>
            </a:spcBef>
            <a:spcAft>
              <a:spcPct val="35000"/>
            </a:spcAft>
            <a:buNone/>
          </a:pPr>
          <a:r>
            <a:rPr lang="en-GB" sz="1600" b="1" kern="1200"/>
            <a:t>Check if already taking vitamin D in any form</a:t>
          </a:r>
        </a:p>
        <a:p>
          <a:pPr marL="114300" lvl="1" indent="-114300" algn="l" defTabSz="533400">
            <a:lnSpc>
              <a:spcPct val="90000"/>
            </a:lnSpc>
            <a:spcBef>
              <a:spcPct val="0"/>
            </a:spcBef>
            <a:spcAft>
              <a:spcPct val="15000"/>
            </a:spcAft>
            <a:buChar char="•"/>
          </a:pPr>
          <a:r>
            <a:rPr lang="en-GB" sz="1200" b="0" kern="1200"/>
            <a:t>Do not supply if taking vitamin D with calcium tablets, for example</a:t>
          </a:r>
        </a:p>
      </dsp:txBody>
      <dsp:txXfrm>
        <a:off x="1166695" y="1796134"/>
        <a:ext cx="4334241" cy="959767"/>
      </dsp:txXfrm>
    </dsp:sp>
    <dsp:sp modelId="{014AA5A2-7EC3-4F0B-8EAB-90D2E03A25CE}">
      <dsp:nvSpPr>
        <dsp:cNvPr id="0" name=""/>
        <dsp:cNvSpPr/>
      </dsp:nvSpPr>
      <dsp:spPr>
        <a:xfrm>
          <a:off x="706038" y="1815360"/>
          <a:ext cx="921315" cy="92131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E13ECC-42FF-49F9-8EAB-6A2C52B2D190}">
      <dsp:nvSpPr>
        <dsp:cNvPr id="0" name=""/>
        <dsp:cNvSpPr/>
      </dsp:nvSpPr>
      <dsp:spPr>
        <a:xfrm>
          <a:off x="1443930" y="2889411"/>
          <a:ext cx="4057007" cy="9840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5035" tIns="40640" rIns="40640" bIns="40640" numCol="1" spcCol="1270" anchor="t" anchorCtr="0">
          <a:noAutofit/>
        </a:bodyPr>
        <a:lstStyle/>
        <a:p>
          <a:pPr marL="0" lvl="0" indent="0" algn="l" defTabSz="711200">
            <a:lnSpc>
              <a:spcPct val="90000"/>
            </a:lnSpc>
            <a:spcBef>
              <a:spcPct val="0"/>
            </a:spcBef>
            <a:spcAft>
              <a:spcPct val="35000"/>
            </a:spcAft>
            <a:buNone/>
          </a:pPr>
          <a:r>
            <a:rPr lang="en-GB" sz="1600" b="1" kern="1200"/>
            <a:t>Check if any contraindications</a:t>
          </a:r>
        </a:p>
        <a:p>
          <a:pPr marL="114300" lvl="1" indent="-114300" algn="l" defTabSz="533400">
            <a:lnSpc>
              <a:spcPct val="90000"/>
            </a:lnSpc>
            <a:spcBef>
              <a:spcPct val="0"/>
            </a:spcBef>
            <a:spcAft>
              <a:spcPct val="15000"/>
            </a:spcAft>
            <a:buChar char="•"/>
          </a:pPr>
          <a:r>
            <a:rPr lang="en-GB" sz="1200" kern="1200"/>
            <a:t>Hypercalcaemia</a:t>
          </a:r>
        </a:p>
        <a:p>
          <a:pPr marL="114300" lvl="1" indent="-114300" algn="l" defTabSz="533400">
            <a:lnSpc>
              <a:spcPct val="90000"/>
            </a:lnSpc>
            <a:spcBef>
              <a:spcPct val="0"/>
            </a:spcBef>
            <a:spcAft>
              <a:spcPct val="15000"/>
            </a:spcAft>
            <a:buChar char="•"/>
          </a:pPr>
          <a:r>
            <a:rPr lang="en-GB" sz="1200" kern="1200"/>
            <a:t>Metastatic calcification </a:t>
          </a:r>
        </a:p>
        <a:p>
          <a:pPr marL="114300" lvl="1" indent="-114300" algn="l" defTabSz="533400">
            <a:lnSpc>
              <a:spcPct val="90000"/>
            </a:lnSpc>
            <a:spcBef>
              <a:spcPct val="0"/>
            </a:spcBef>
            <a:spcAft>
              <a:spcPct val="15000"/>
            </a:spcAft>
            <a:buChar char="•"/>
          </a:pPr>
          <a:r>
            <a:rPr lang="en-GB" sz="1200" kern="1200"/>
            <a:t>Caution if has sarcoidosis</a:t>
          </a:r>
        </a:p>
        <a:p>
          <a:pPr marL="114300" lvl="1" indent="-114300" algn="l" defTabSz="533400">
            <a:lnSpc>
              <a:spcPct val="90000"/>
            </a:lnSpc>
            <a:spcBef>
              <a:spcPct val="0"/>
            </a:spcBef>
            <a:spcAft>
              <a:spcPct val="15000"/>
            </a:spcAft>
            <a:buChar char="•"/>
          </a:pPr>
          <a:endParaRPr lang="en-GB" sz="1200" kern="1200"/>
        </a:p>
      </dsp:txBody>
      <dsp:txXfrm>
        <a:off x="1443930" y="2889411"/>
        <a:ext cx="4057007" cy="984089"/>
      </dsp:txXfrm>
    </dsp:sp>
    <dsp:sp modelId="{7744917C-F975-4013-A687-83EE9E70CD5A}">
      <dsp:nvSpPr>
        <dsp:cNvPr id="0" name=""/>
        <dsp:cNvSpPr/>
      </dsp:nvSpPr>
      <dsp:spPr>
        <a:xfrm>
          <a:off x="983272" y="2920798"/>
          <a:ext cx="921315" cy="92131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EE8790-2356-4688-95B4-1FB5A47944DB}">
      <dsp:nvSpPr>
        <dsp:cNvPr id="0" name=""/>
        <dsp:cNvSpPr/>
      </dsp:nvSpPr>
      <dsp:spPr>
        <a:xfrm>
          <a:off x="1443930" y="4117667"/>
          <a:ext cx="4057007" cy="7370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5035" tIns="40640" rIns="40640" bIns="40640" numCol="1" spcCol="1270" anchor="t" anchorCtr="0">
          <a:noAutofit/>
        </a:bodyPr>
        <a:lstStyle/>
        <a:p>
          <a:pPr marL="0" lvl="0" indent="0" algn="l" defTabSz="711200">
            <a:lnSpc>
              <a:spcPct val="90000"/>
            </a:lnSpc>
            <a:spcBef>
              <a:spcPct val="0"/>
            </a:spcBef>
            <a:spcAft>
              <a:spcPct val="35000"/>
            </a:spcAft>
            <a:buNone/>
          </a:pPr>
          <a:r>
            <a:rPr lang="en-GB" sz="1600" b="1" kern="1200"/>
            <a:t>Check if renal  patient</a:t>
          </a:r>
        </a:p>
        <a:p>
          <a:pPr marL="114300" lvl="1" indent="-114300" algn="l" defTabSz="533400">
            <a:lnSpc>
              <a:spcPct val="90000"/>
            </a:lnSpc>
            <a:spcBef>
              <a:spcPct val="0"/>
            </a:spcBef>
            <a:spcAft>
              <a:spcPct val="15000"/>
            </a:spcAft>
            <a:buChar char="•"/>
          </a:pPr>
          <a:r>
            <a:rPr lang="en-GB" sz="1200" kern="1200"/>
            <a:t> Do not supply if patient has chronic kidney disease and is seen by a nephrologist </a:t>
          </a:r>
        </a:p>
      </dsp:txBody>
      <dsp:txXfrm>
        <a:off x="1443930" y="4117667"/>
        <a:ext cx="4057007" cy="737052"/>
      </dsp:txXfrm>
    </dsp:sp>
    <dsp:sp modelId="{E018FF6D-BFD1-44FF-9A05-9A77E47CF4F6}">
      <dsp:nvSpPr>
        <dsp:cNvPr id="0" name=""/>
        <dsp:cNvSpPr/>
      </dsp:nvSpPr>
      <dsp:spPr>
        <a:xfrm>
          <a:off x="983272" y="4025536"/>
          <a:ext cx="921315" cy="92131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EEA6DEC-8767-4937-A5D9-340EA9E34415}">
      <dsp:nvSpPr>
        <dsp:cNvPr id="0" name=""/>
        <dsp:cNvSpPr/>
      </dsp:nvSpPr>
      <dsp:spPr>
        <a:xfrm>
          <a:off x="1166695" y="5223106"/>
          <a:ext cx="4334241" cy="7370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5035" tIns="40640" rIns="40640" bIns="40640" numCol="1" spcCol="1270" anchor="t" anchorCtr="0">
          <a:noAutofit/>
        </a:bodyPr>
        <a:lstStyle/>
        <a:p>
          <a:pPr marL="0" lvl="0" indent="0" algn="l" defTabSz="711200">
            <a:lnSpc>
              <a:spcPct val="90000"/>
            </a:lnSpc>
            <a:spcBef>
              <a:spcPct val="0"/>
            </a:spcBef>
            <a:spcAft>
              <a:spcPct val="35000"/>
            </a:spcAft>
            <a:buNone/>
          </a:pPr>
          <a:r>
            <a:rPr lang="en-GB" sz="1600" b="1" kern="1200"/>
            <a:t>Check if on anti-epileptic medication</a:t>
          </a:r>
        </a:p>
        <a:p>
          <a:pPr marL="114300" lvl="1" indent="-114300" algn="l" defTabSz="533400">
            <a:lnSpc>
              <a:spcPct val="90000"/>
            </a:lnSpc>
            <a:spcBef>
              <a:spcPct val="0"/>
            </a:spcBef>
            <a:spcAft>
              <a:spcPct val="15000"/>
            </a:spcAft>
            <a:buChar char="•"/>
          </a:pPr>
          <a:r>
            <a:rPr lang="en-GB" sz="1200" kern="1200"/>
            <a:t> Do not supply if taking any anti-epileptics on list above</a:t>
          </a:r>
        </a:p>
      </dsp:txBody>
      <dsp:txXfrm>
        <a:off x="1166695" y="5223106"/>
        <a:ext cx="4334241" cy="737052"/>
      </dsp:txXfrm>
    </dsp:sp>
    <dsp:sp modelId="{BBC40767-5B12-4B7B-A2CB-AA52CA4FBC5A}">
      <dsp:nvSpPr>
        <dsp:cNvPr id="0" name=""/>
        <dsp:cNvSpPr/>
      </dsp:nvSpPr>
      <dsp:spPr>
        <a:xfrm>
          <a:off x="706038" y="5130974"/>
          <a:ext cx="921315" cy="92131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38D3E8-916C-4C00-8C79-8D0AB376A331}">
      <dsp:nvSpPr>
        <dsp:cNvPr id="0" name=""/>
        <dsp:cNvSpPr/>
      </dsp:nvSpPr>
      <dsp:spPr>
        <a:xfrm>
          <a:off x="560420" y="6328544"/>
          <a:ext cx="4940517" cy="7370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5035" tIns="40640" rIns="40640" bIns="40640" numCol="1" spcCol="1270" anchor="t" anchorCtr="0">
          <a:noAutofit/>
        </a:bodyPr>
        <a:lstStyle/>
        <a:p>
          <a:pPr marL="0" lvl="0" indent="0" algn="l" defTabSz="711200">
            <a:lnSpc>
              <a:spcPct val="90000"/>
            </a:lnSpc>
            <a:spcBef>
              <a:spcPct val="0"/>
            </a:spcBef>
            <a:spcAft>
              <a:spcPct val="35000"/>
            </a:spcAft>
            <a:buNone/>
          </a:pPr>
          <a:r>
            <a:rPr lang="en-GB" sz="1600" b="1" kern="1200"/>
            <a:t>Supply tablets for 4 months</a:t>
          </a:r>
        </a:p>
        <a:p>
          <a:pPr marL="114300" lvl="1" indent="-114300" algn="l" defTabSz="533400">
            <a:lnSpc>
              <a:spcPct val="90000"/>
            </a:lnSpc>
            <a:spcBef>
              <a:spcPct val="0"/>
            </a:spcBef>
            <a:spcAft>
              <a:spcPct val="15000"/>
            </a:spcAft>
            <a:buChar char="•"/>
          </a:pPr>
          <a:r>
            <a:rPr lang="en-GB" sz="1200" b="0" kern="1200"/>
            <a:t>Log via PharmOutcomes</a:t>
          </a:r>
        </a:p>
      </dsp:txBody>
      <dsp:txXfrm>
        <a:off x="560420" y="6328544"/>
        <a:ext cx="4940517" cy="737052"/>
      </dsp:txXfrm>
    </dsp:sp>
    <dsp:sp modelId="{9A395437-15DF-4CA1-9DF7-3EC62821CB7E}">
      <dsp:nvSpPr>
        <dsp:cNvPr id="0" name=""/>
        <dsp:cNvSpPr/>
      </dsp:nvSpPr>
      <dsp:spPr>
        <a:xfrm>
          <a:off x="99762" y="6236412"/>
          <a:ext cx="921315" cy="92131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C117-AE66-4FAE-948A-FFDAE6099C27}">
  <ds:schemaRefs>
    <ds:schemaRef ds:uri="http://schemas.microsoft.com/sharepoint/v3/contenttype/forms"/>
  </ds:schemaRefs>
</ds:datastoreItem>
</file>

<file path=customXml/itemProps2.xml><?xml version="1.0" encoding="utf-8"?>
<ds:datastoreItem xmlns:ds="http://schemas.openxmlformats.org/officeDocument/2006/customXml" ds:itemID="{10E0956C-6203-42D2-819F-F478E6C1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764c-0a04-487e-986d-5333bd60b83e"/>
    <ds:schemaRef ds:uri="9587d29d-9b85-47b5-a1d1-fa25f63d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BDD21-ED4D-40D8-9A95-C0D133D32E0C}">
  <ds:schemaRefs>
    <ds:schemaRef ds:uri="http://schemas.microsoft.com/office/2006/metadata/properties"/>
    <ds:schemaRef ds:uri="http://schemas.microsoft.com/office/infopath/2007/PartnerControls"/>
    <ds:schemaRef ds:uri="9587d29d-9b85-47b5-a1d1-fa25f63d522b"/>
    <ds:schemaRef ds:uri="e61f764c-0a04-487e-986d-5333bd60b83e"/>
  </ds:schemaRefs>
</ds:datastoreItem>
</file>

<file path=customXml/itemProps4.xml><?xml version="1.0" encoding="utf-8"?>
<ds:datastoreItem xmlns:ds="http://schemas.openxmlformats.org/officeDocument/2006/customXml" ds:itemID="{D1F27F58-330B-4B19-ACD6-BE452F58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3342</Words>
  <Characters>19050</Characters>
  <Application>Microsoft Office Word</Application>
  <DocSecurity>0</DocSecurity>
  <Lines>158</Lines>
  <Paragraphs>44</Paragraphs>
  <ScaleCrop>false</ScaleCrop>
  <Company>St. Helens Council</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woodwardki</dc:creator>
  <cp:lastModifiedBy>Jess Bibby</cp:lastModifiedBy>
  <cp:revision>2</cp:revision>
  <cp:lastPrinted>2017-04-13T13:06:00Z</cp:lastPrinted>
  <dcterms:created xsi:type="dcterms:W3CDTF">2024-11-04T10:00:00Z</dcterms:created>
  <dcterms:modified xsi:type="dcterms:W3CDTF">2024-11-04T10:00:00Z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y fmtid="{D5CDD505-2E9C-101B-9397-08002B2CF9AE}" pid="3" name="MediaServiceImageTags">
    <vt:lpwstr/>
  </property>
</Properties>
</file>