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9E82" w14:textId="38729D26" w:rsidR="001E2E94" w:rsidRPr="00FA34B0" w:rsidRDefault="001E2E94" w:rsidP="001E2E94">
      <w:pPr>
        <w:pStyle w:val="BodyText"/>
        <w:jc w:val="center"/>
        <w:rPr>
          <w:b/>
          <w:bCs/>
          <w:sz w:val="20"/>
          <w:szCs w:val="20"/>
        </w:rPr>
      </w:pPr>
      <w:r w:rsidRPr="00FA34B0">
        <w:rPr>
          <w:b/>
          <w:bCs/>
          <w:sz w:val="20"/>
          <w:szCs w:val="20"/>
        </w:rPr>
        <w:t>SERVICE SPECIFICATION</w:t>
      </w:r>
      <w:r w:rsidR="00957B59">
        <w:rPr>
          <w:b/>
          <w:bCs/>
          <w:sz w:val="20"/>
          <w:szCs w:val="20"/>
        </w:rPr>
        <w:t xml:space="preserve"> </w:t>
      </w:r>
    </w:p>
    <w:p w14:paraId="6FDDB465" w14:textId="77777777" w:rsidR="001E2E94" w:rsidRPr="00FA34B0" w:rsidRDefault="001E2E94" w:rsidP="001E2E94">
      <w:pPr>
        <w:keepNext/>
        <w:suppressAutoHyphens w:val="0"/>
        <w:jc w:val="center"/>
        <w:outlineLvl w:val="1"/>
        <w:rPr>
          <w:rFonts w:cs="Arial"/>
          <w:sz w:val="20"/>
        </w:rPr>
      </w:pPr>
    </w:p>
    <w:p w14:paraId="275E785C" w14:textId="77777777" w:rsidR="001E2E94" w:rsidRPr="00FA34B0" w:rsidRDefault="001E2E94" w:rsidP="001E2E94">
      <w:pPr>
        <w:spacing w:line="100" w:lineRule="exact"/>
        <w:rPr>
          <w:rFonts w:cs="Arial"/>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988"/>
      </w:tblGrid>
      <w:tr w:rsidR="001E2E94" w:rsidRPr="00FA34B0" w14:paraId="4D9968A0" w14:textId="77777777" w:rsidTr="003573F3">
        <w:trPr>
          <w:trHeight w:val="284"/>
        </w:trPr>
        <w:tc>
          <w:tcPr>
            <w:tcW w:w="3028" w:type="dxa"/>
            <w:shd w:val="clear" w:color="auto" w:fill="808080" w:themeFill="background1" w:themeFillShade="80"/>
            <w:vAlign w:val="center"/>
          </w:tcPr>
          <w:p w14:paraId="6E3C2A06"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Service</w:t>
            </w:r>
            <w:r w:rsidRPr="00FA34B0">
              <w:rPr>
                <w:rFonts w:eastAsia="Calibri" w:cs="Arial"/>
                <w:b/>
                <w:color w:val="FFFFFF"/>
                <w:spacing w:val="-1"/>
                <w:position w:val="1"/>
                <w:sz w:val="20"/>
                <w:lang w:eastAsia="en-GB"/>
              </w:rPr>
              <w:t xml:space="preserve"> </w:t>
            </w:r>
            <w:r w:rsidRPr="00FA34B0">
              <w:rPr>
                <w:rFonts w:eastAsia="Calibri" w:cs="Arial"/>
                <w:b/>
                <w:color w:val="FFFFFF"/>
                <w:position w:val="1"/>
                <w:sz w:val="20"/>
                <w:lang w:eastAsia="en-GB"/>
              </w:rPr>
              <w:t>S</w:t>
            </w: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ecific</w:t>
            </w:r>
            <w:r w:rsidRPr="00FA34B0">
              <w:rPr>
                <w:rFonts w:eastAsia="Calibri" w:cs="Arial"/>
                <w:b/>
                <w:color w:val="FFFFFF"/>
                <w:spacing w:val="-2"/>
                <w:position w:val="1"/>
                <w:sz w:val="20"/>
                <w:lang w:eastAsia="en-GB"/>
              </w:rPr>
              <w:t>a</w:t>
            </w:r>
            <w:r w:rsidRPr="00FA34B0">
              <w:rPr>
                <w:rFonts w:eastAsia="Calibri" w:cs="Arial"/>
                <w:b/>
                <w:color w:val="FFFFFF"/>
                <w:position w:val="1"/>
                <w:sz w:val="20"/>
                <w:lang w:eastAsia="en-GB"/>
              </w:rPr>
              <w:t>ti</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 xml:space="preserve">n </w:t>
            </w:r>
            <w:r w:rsidRPr="00FA34B0">
              <w:rPr>
                <w:rFonts w:eastAsia="Calibri" w:cs="Arial"/>
                <w:b/>
                <w:color w:val="FFFFFF"/>
                <w:spacing w:val="-3"/>
                <w:position w:val="1"/>
                <w:sz w:val="20"/>
                <w:lang w:eastAsia="en-GB"/>
              </w:rPr>
              <w:t>N</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 xml:space="preserve">. </w:t>
            </w:r>
          </w:p>
        </w:tc>
        <w:tc>
          <w:tcPr>
            <w:tcW w:w="5988" w:type="dxa"/>
            <w:shd w:val="clear" w:color="auto" w:fill="auto"/>
            <w:vAlign w:val="center"/>
          </w:tcPr>
          <w:p w14:paraId="152528C2" w14:textId="77777777" w:rsidR="001E2E94" w:rsidRPr="00FA34B0" w:rsidRDefault="001E2E94" w:rsidP="003573F3">
            <w:pPr>
              <w:widowControl w:val="0"/>
              <w:rPr>
                <w:rFonts w:eastAsia="Calibri" w:cs="Arial"/>
                <w:sz w:val="20"/>
                <w:lang w:eastAsia="en-GB"/>
              </w:rPr>
            </w:pPr>
            <w:r w:rsidRPr="00FA34B0">
              <w:rPr>
                <w:rFonts w:eastAsia="Calibri" w:cs="Arial"/>
                <w:sz w:val="20"/>
                <w:lang w:eastAsia="en-GB"/>
              </w:rPr>
              <w:t>N/A</w:t>
            </w:r>
          </w:p>
        </w:tc>
      </w:tr>
      <w:tr w:rsidR="001E2E94" w:rsidRPr="00FA34B0" w14:paraId="654DE98C" w14:textId="77777777" w:rsidTr="003573F3">
        <w:trPr>
          <w:trHeight w:val="284"/>
        </w:trPr>
        <w:tc>
          <w:tcPr>
            <w:tcW w:w="3028" w:type="dxa"/>
            <w:shd w:val="clear" w:color="auto" w:fill="808080" w:themeFill="background1" w:themeFillShade="80"/>
            <w:vAlign w:val="center"/>
          </w:tcPr>
          <w:p w14:paraId="114FAD47"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Service</w:t>
            </w:r>
          </w:p>
        </w:tc>
        <w:tc>
          <w:tcPr>
            <w:tcW w:w="5988" w:type="dxa"/>
            <w:shd w:val="clear" w:color="auto" w:fill="auto"/>
            <w:vAlign w:val="center"/>
          </w:tcPr>
          <w:p w14:paraId="38B72687" w14:textId="77777777" w:rsidR="001E2E94" w:rsidRPr="00FA34B0" w:rsidRDefault="001E2E94" w:rsidP="003573F3">
            <w:pPr>
              <w:widowControl w:val="0"/>
              <w:rPr>
                <w:rFonts w:eastAsia="Calibri" w:cs="Arial"/>
                <w:sz w:val="20"/>
                <w:lang w:eastAsia="en-GB"/>
              </w:rPr>
            </w:pPr>
            <w:r w:rsidRPr="00FA34B0">
              <w:rPr>
                <w:rFonts w:cs="Arial"/>
                <w:sz w:val="20"/>
              </w:rPr>
              <w:t>Stop Smoking Services in Community Pharmacies (aka The Intermediate Service)</w:t>
            </w:r>
          </w:p>
        </w:tc>
      </w:tr>
      <w:tr w:rsidR="001E2E94" w:rsidRPr="00FA34B0" w14:paraId="67C11C35" w14:textId="77777777" w:rsidTr="003573F3">
        <w:trPr>
          <w:trHeight w:val="284"/>
        </w:trPr>
        <w:tc>
          <w:tcPr>
            <w:tcW w:w="3028" w:type="dxa"/>
            <w:shd w:val="clear" w:color="auto" w:fill="808080" w:themeFill="background1" w:themeFillShade="80"/>
            <w:vAlign w:val="center"/>
          </w:tcPr>
          <w:p w14:paraId="79059E43"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C</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mm</w:t>
            </w:r>
            <w:r w:rsidRPr="00FA34B0">
              <w:rPr>
                <w:rFonts w:eastAsia="Calibri" w:cs="Arial"/>
                <w:b/>
                <w:color w:val="FFFFFF"/>
                <w:position w:val="1"/>
                <w:sz w:val="20"/>
                <w:lang w:eastAsia="en-GB"/>
              </w:rPr>
              <w:t>i</w:t>
            </w:r>
            <w:r w:rsidRPr="00FA34B0">
              <w:rPr>
                <w:rFonts w:eastAsia="Calibri" w:cs="Arial"/>
                <w:b/>
                <w:color w:val="FFFFFF"/>
                <w:spacing w:val="-3"/>
                <w:position w:val="1"/>
                <w:sz w:val="20"/>
                <w:lang w:eastAsia="en-GB"/>
              </w:rPr>
              <w:t>s</w:t>
            </w:r>
            <w:r w:rsidRPr="00FA34B0">
              <w:rPr>
                <w:rFonts w:eastAsia="Calibri" w:cs="Arial"/>
                <w:b/>
                <w:color w:val="FFFFFF"/>
                <w:position w:val="1"/>
                <w:sz w:val="20"/>
                <w:lang w:eastAsia="en-GB"/>
              </w:rPr>
              <w:t>si</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n</w:t>
            </w:r>
            <w:r w:rsidRPr="00FA34B0">
              <w:rPr>
                <w:rFonts w:eastAsia="Calibri" w:cs="Arial"/>
                <w:b/>
                <w:color w:val="FFFFFF"/>
                <w:position w:val="1"/>
                <w:sz w:val="20"/>
                <w:lang w:eastAsia="en-GB"/>
              </w:rPr>
              <w:t>er</w:t>
            </w:r>
            <w:r w:rsidRPr="00FA34B0">
              <w:rPr>
                <w:rFonts w:eastAsia="Calibri" w:cs="Arial"/>
                <w:b/>
                <w:color w:val="FFFFFF"/>
                <w:spacing w:val="-2"/>
                <w:position w:val="1"/>
                <w:sz w:val="20"/>
                <w:lang w:eastAsia="en-GB"/>
              </w:rPr>
              <w:t xml:space="preserve"> </w:t>
            </w:r>
            <w:r w:rsidRPr="00FA34B0">
              <w:rPr>
                <w:rFonts w:eastAsia="Calibri" w:cs="Arial"/>
                <w:b/>
                <w:color w:val="FFFFFF"/>
                <w:spacing w:val="-1"/>
                <w:position w:val="1"/>
                <w:sz w:val="20"/>
                <w:lang w:eastAsia="en-GB"/>
              </w:rPr>
              <w:t>L</w:t>
            </w:r>
            <w:r w:rsidRPr="00FA34B0">
              <w:rPr>
                <w:rFonts w:eastAsia="Calibri" w:cs="Arial"/>
                <w:b/>
                <w:color w:val="FFFFFF"/>
                <w:position w:val="1"/>
                <w:sz w:val="20"/>
                <w:lang w:eastAsia="en-GB"/>
              </w:rPr>
              <w:t>ead</w:t>
            </w:r>
          </w:p>
        </w:tc>
        <w:tc>
          <w:tcPr>
            <w:tcW w:w="5988" w:type="dxa"/>
            <w:shd w:val="clear" w:color="auto" w:fill="auto"/>
            <w:vAlign w:val="center"/>
          </w:tcPr>
          <w:p w14:paraId="67955A96" w14:textId="77777777" w:rsidR="001E2E94" w:rsidRPr="00FA34B0" w:rsidRDefault="001E2E94" w:rsidP="003573F3">
            <w:pPr>
              <w:widowControl w:val="0"/>
              <w:rPr>
                <w:rFonts w:eastAsia="Calibri" w:cs="Arial"/>
                <w:sz w:val="20"/>
                <w:lang w:eastAsia="en-GB"/>
              </w:rPr>
            </w:pPr>
            <w:r w:rsidRPr="00FA34B0">
              <w:rPr>
                <w:rFonts w:cs="Arial"/>
                <w:sz w:val="20"/>
              </w:rPr>
              <w:t>Jayne Hardman</w:t>
            </w:r>
          </w:p>
        </w:tc>
      </w:tr>
      <w:tr w:rsidR="001E2E94" w:rsidRPr="00FA34B0" w14:paraId="20FF3E8C" w14:textId="77777777" w:rsidTr="003573F3">
        <w:trPr>
          <w:trHeight w:val="284"/>
        </w:trPr>
        <w:tc>
          <w:tcPr>
            <w:tcW w:w="3028" w:type="dxa"/>
            <w:shd w:val="clear" w:color="auto" w:fill="808080" w:themeFill="background1" w:themeFillShade="80"/>
            <w:vAlign w:val="center"/>
          </w:tcPr>
          <w:p w14:paraId="766416C9"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r</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v</w:t>
            </w:r>
            <w:r w:rsidRPr="00FA34B0">
              <w:rPr>
                <w:rFonts w:eastAsia="Calibri" w:cs="Arial"/>
                <w:b/>
                <w:color w:val="FFFFFF"/>
                <w:position w:val="1"/>
                <w:sz w:val="20"/>
                <w:lang w:eastAsia="en-GB"/>
              </w:rPr>
              <w:t>i</w:t>
            </w:r>
            <w:r w:rsidRPr="00FA34B0">
              <w:rPr>
                <w:rFonts w:eastAsia="Calibri" w:cs="Arial"/>
                <w:b/>
                <w:color w:val="FFFFFF"/>
                <w:spacing w:val="-1"/>
                <w:position w:val="1"/>
                <w:sz w:val="20"/>
                <w:lang w:eastAsia="en-GB"/>
              </w:rPr>
              <w:t>d</w:t>
            </w:r>
            <w:r w:rsidRPr="00FA34B0">
              <w:rPr>
                <w:rFonts w:eastAsia="Calibri" w:cs="Arial"/>
                <w:b/>
                <w:color w:val="FFFFFF"/>
                <w:position w:val="1"/>
                <w:sz w:val="20"/>
                <w:lang w:eastAsia="en-GB"/>
              </w:rPr>
              <w:t>er</w:t>
            </w:r>
            <w:r w:rsidRPr="00FA34B0">
              <w:rPr>
                <w:rFonts w:eastAsia="Calibri" w:cs="Arial"/>
                <w:b/>
                <w:color w:val="FFFFFF"/>
                <w:spacing w:val="-1"/>
                <w:position w:val="1"/>
                <w:sz w:val="20"/>
                <w:lang w:eastAsia="en-GB"/>
              </w:rPr>
              <w:t xml:space="preserve"> </w:t>
            </w:r>
            <w:r w:rsidRPr="00FA34B0">
              <w:rPr>
                <w:rFonts w:eastAsia="Calibri" w:cs="Arial"/>
                <w:b/>
                <w:color w:val="FFFFFF"/>
                <w:spacing w:val="1"/>
                <w:position w:val="1"/>
                <w:sz w:val="20"/>
                <w:lang w:eastAsia="en-GB"/>
              </w:rPr>
              <w:t>L</w:t>
            </w:r>
            <w:r w:rsidRPr="00FA34B0">
              <w:rPr>
                <w:rFonts w:eastAsia="Calibri" w:cs="Arial"/>
                <w:b/>
                <w:color w:val="FFFFFF"/>
                <w:position w:val="1"/>
                <w:sz w:val="20"/>
                <w:lang w:eastAsia="en-GB"/>
              </w:rPr>
              <w:t>ead</w:t>
            </w:r>
          </w:p>
        </w:tc>
        <w:tc>
          <w:tcPr>
            <w:tcW w:w="5988" w:type="dxa"/>
            <w:shd w:val="clear" w:color="auto" w:fill="auto"/>
            <w:vAlign w:val="center"/>
          </w:tcPr>
          <w:p w14:paraId="78CB0EAF" w14:textId="77777777" w:rsidR="001E2E94" w:rsidRPr="00FA34B0" w:rsidRDefault="001E2E94" w:rsidP="003573F3">
            <w:pPr>
              <w:widowControl w:val="0"/>
              <w:rPr>
                <w:rFonts w:eastAsia="Calibri" w:cs="Arial"/>
                <w:sz w:val="20"/>
                <w:lang w:eastAsia="en-GB"/>
              </w:rPr>
            </w:pPr>
            <w:r w:rsidRPr="00FA34B0">
              <w:rPr>
                <w:rFonts w:cs="Arial"/>
                <w:sz w:val="20"/>
              </w:rPr>
              <w:t>Various</w:t>
            </w:r>
          </w:p>
        </w:tc>
      </w:tr>
      <w:tr w:rsidR="001E2E94" w:rsidRPr="00FA34B0" w14:paraId="7E389DBD" w14:textId="77777777" w:rsidTr="003573F3">
        <w:trPr>
          <w:trHeight w:val="284"/>
        </w:trPr>
        <w:tc>
          <w:tcPr>
            <w:tcW w:w="3028" w:type="dxa"/>
            <w:shd w:val="clear" w:color="auto" w:fill="808080" w:themeFill="background1" w:themeFillShade="80"/>
            <w:vAlign w:val="center"/>
          </w:tcPr>
          <w:p w14:paraId="7B0F34C8"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er</w:t>
            </w:r>
            <w:r w:rsidRPr="00FA34B0">
              <w:rPr>
                <w:rFonts w:eastAsia="Calibri" w:cs="Arial"/>
                <w:b/>
                <w:color w:val="FFFFFF"/>
                <w:spacing w:val="-2"/>
                <w:position w:val="1"/>
                <w:sz w:val="20"/>
                <w:lang w:eastAsia="en-GB"/>
              </w:rPr>
              <w:t>i</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d</w:t>
            </w:r>
          </w:p>
        </w:tc>
        <w:tc>
          <w:tcPr>
            <w:tcW w:w="5988" w:type="dxa"/>
            <w:shd w:val="clear" w:color="auto" w:fill="auto"/>
            <w:vAlign w:val="center"/>
          </w:tcPr>
          <w:p w14:paraId="1168D824" w14:textId="4BC8358B" w:rsidR="001E2E94" w:rsidRPr="00FA34B0" w:rsidRDefault="001E2E94" w:rsidP="003573F3">
            <w:pPr>
              <w:widowControl w:val="0"/>
              <w:rPr>
                <w:rFonts w:eastAsia="Calibri" w:cs="Arial"/>
                <w:sz w:val="20"/>
                <w:lang w:eastAsia="en-GB"/>
              </w:rPr>
            </w:pPr>
            <w:r w:rsidRPr="00FA34B0">
              <w:rPr>
                <w:rFonts w:cs="Arial"/>
                <w:sz w:val="20"/>
              </w:rPr>
              <w:t>01.04.24 – 31.03.2</w:t>
            </w:r>
            <w:r w:rsidR="00AD3211">
              <w:rPr>
                <w:rFonts w:cs="Arial"/>
                <w:sz w:val="20"/>
              </w:rPr>
              <w:t>6 plus one</w:t>
            </w:r>
          </w:p>
        </w:tc>
      </w:tr>
      <w:tr w:rsidR="001E2E94" w:rsidRPr="00FA34B0" w14:paraId="0FBDE1CE" w14:textId="77777777" w:rsidTr="003573F3">
        <w:trPr>
          <w:trHeight w:val="284"/>
        </w:trPr>
        <w:tc>
          <w:tcPr>
            <w:tcW w:w="3028" w:type="dxa"/>
            <w:tcBorders>
              <w:bottom w:val="single" w:sz="4" w:space="0" w:color="auto"/>
            </w:tcBorders>
            <w:shd w:val="clear" w:color="auto" w:fill="808080" w:themeFill="background1" w:themeFillShade="80"/>
            <w:vAlign w:val="center"/>
          </w:tcPr>
          <w:p w14:paraId="5D08527F"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spacing w:val="1"/>
                <w:position w:val="1"/>
                <w:sz w:val="20"/>
                <w:lang w:eastAsia="en-GB"/>
              </w:rPr>
              <w:t>D</w:t>
            </w:r>
            <w:r w:rsidRPr="00FA34B0">
              <w:rPr>
                <w:rFonts w:eastAsia="Calibri" w:cs="Arial"/>
                <w:b/>
                <w:color w:val="FFFFFF"/>
                <w:position w:val="1"/>
                <w:sz w:val="20"/>
                <w:lang w:eastAsia="en-GB"/>
              </w:rPr>
              <w:t>ate</w:t>
            </w:r>
            <w:r w:rsidRPr="00FA34B0">
              <w:rPr>
                <w:rFonts w:eastAsia="Calibri" w:cs="Arial"/>
                <w:b/>
                <w:color w:val="FFFFFF"/>
                <w:spacing w:val="-1"/>
                <w:position w:val="1"/>
                <w:sz w:val="20"/>
                <w:lang w:eastAsia="en-GB"/>
              </w:rPr>
              <w:t xml:space="preserve"> </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f</w:t>
            </w:r>
            <w:r w:rsidRPr="00FA34B0">
              <w:rPr>
                <w:rFonts w:eastAsia="Calibri" w:cs="Arial"/>
                <w:b/>
                <w:color w:val="FFFFFF"/>
                <w:spacing w:val="-3"/>
                <w:position w:val="1"/>
                <w:sz w:val="20"/>
                <w:lang w:eastAsia="en-GB"/>
              </w:rPr>
              <w:t xml:space="preserve"> </w:t>
            </w:r>
            <w:r w:rsidRPr="00FA34B0">
              <w:rPr>
                <w:rFonts w:eastAsia="Calibri" w:cs="Arial"/>
                <w:b/>
                <w:color w:val="FFFFFF"/>
                <w:position w:val="1"/>
                <w:sz w:val="20"/>
                <w:lang w:eastAsia="en-GB"/>
              </w:rPr>
              <w:t>R</w:t>
            </w:r>
            <w:r w:rsidRPr="00FA34B0">
              <w:rPr>
                <w:rFonts w:eastAsia="Calibri" w:cs="Arial"/>
                <w:b/>
                <w:color w:val="FFFFFF"/>
                <w:spacing w:val="-1"/>
                <w:position w:val="1"/>
                <w:sz w:val="20"/>
                <w:lang w:eastAsia="en-GB"/>
              </w:rPr>
              <w:t>e</w:t>
            </w:r>
            <w:r w:rsidRPr="00FA34B0">
              <w:rPr>
                <w:rFonts w:eastAsia="Calibri" w:cs="Arial"/>
                <w:b/>
                <w:color w:val="FFFFFF"/>
                <w:spacing w:val="1"/>
                <w:position w:val="1"/>
                <w:sz w:val="20"/>
                <w:lang w:eastAsia="en-GB"/>
              </w:rPr>
              <w:t>v</w:t>
            </w:r>
            <w:r w:rsidRPr="00FA34B0">
              <w:rPr>
                <w:rFonts w:eastAsia="Calibri" w:cs="Arial"/>
                <w:b/>
                <w:color w:val="FFFFFF"/>
                <w:position w:val="1"/>
                <w:sz w:val="20"/>
                <w:lang w:eastAsia="en-GB"/>
              </w:rPr>
              <w:t>i</w:t>
            </w:r>
            <w:r w:rsidRPr="00FA34B0">
              <w:rPr>
                <w:rFonts w:eastAsia="Calibri" w:cs="Arial"/>
                <w:b/>
                <w:color w:val="FFFFFF"/>
                <w:spacing w:val="-2"/>
                <w:position w:val="1"/>
                <w:sz w:val="20"/>
                <w:lang w:eastAsia="en-GB"/>
              </w:rPr>
              <w:t>e</w:t>
            </w:r>
            <w:r w:rsidRPr="00FA34B0">
              <w:rPr>
                <w:rFonts w:eastAsia="Calibri" w:cs="Arial"/>
                <w:b/>
                <w:color w:val="FFFFFF"/>
                <w:position w:val="1"/>
                <w:sz w:val="20"/>
                <w:lang w:eastAsia="en-GB"/>
              </w:rPr>
              <w:t>w</w:t>
            </w:r>
          </w:p>
        </w:tc>
        <w:tc>
          <w:tcPr>
            <w:tcW w:w="5988" w:type="dxa"/>
            <w:tcBorders>
              <w:bottom w:val="single" w:sz="4" w:space="0" w:color="auto"/>
            </w:tcBorders>
            <w:shd w:val="clear" w:color="auto" w:fill="auto"/>
            <w:vAlign w:val="center"/>
          </w:tcPr>
          <w:p w14:paraId="2351AF46" w14:textId="7BBFAB85" w:rsidR="001E2E94" w:rsidRPr="00FA34B0" w:rsidRDefault="00BA32EF" w:rsidP="003573F3">
            <w:pPr>
              <w:widowControl w:val="0"/>
              <w:rPr>
                <w:rFonts w:eastAsia="Calibri" w:cs="Arial"/>
                <w:sz w:val="20"/>
                <w:lang w:eastAsia="en-GB"/>
              </w:rPr>
            </w:pPr>
            <w:r>
              <w:rPr>
                <w:rFonts w:eastAsia="Calibri" w:cs="Arial"/>
                <w:sz w:val="20"/>
              </w:rPr>
              <w:t>January 20</w:t>
            </w:r>
            <w:r w:rsidR="001E2E94" w:rsidRPr="00FA34B0">
              <w:rPr>
                <w:rFonts w:eastAsia="Calibri" w:cs="Arial"/>
                <w:sz w:val="20"/>
              </w:rPr>
              <w:t>26</w:t>
            </w:r>
          </w:p>
        </w:tc>
      </w:tr>
    </w:tbl>
    <w:p w14:paraId="1C522535" w14:textId="77777777" w:rsidR="00312F8F" w:rsidRPr="00FA34B0" w:rsidRDefault="00312F8F">
      <w:pPr>
        <w:rPr>
          <w:rFonts w:cs="Arial"/>
          <w:sz w:val="20"/>
        </w:rPr>
      </w:pPr>
    </w:p>
    <w:tbl>
      <w:tblPr>
        <w:tblStyle w:val="TableGrid"/>
        <w:tblW w:w="0" w:type="auto"/>
        <w:tblLook w:val="04A0" w:firstRow="1" w:lastRow="0" w:firstColumn="1" w:lastColumn="0" w:noHBand="0" w:noVBand="1"/>
      </w:tblPr>
      <w:tblGrid>
        <w:gridCol w:w="9016"/>
      </w:tblGrid>
      <w:tr w:rsidR="001E2E94" w:rsidRPr="00FA34B0" w14:paraId="58FAE87B" w14:textId="77777777" w:rsidTr="006969ED">
        <w:tc>
          <w:tcPr>
            <w:tcW w:w="9016" w:type="dxa"/>
            <w:shd w:val="clear" w:color="auto" w:fill="BFBFBF" w:themeFill="background1" w:themeFillShade="BF"/>
          </w:tcPr>
          <w:p w14:paraId="5F6FA432" w14:textId="1EC47320" w:rsidR="001E2E94" w:rsidRPr="00FA34B0" w:rsidRDefault="001E2E94" w:rsidP="001E2E94">
            <w:pPr>
              <w:rPr>
                <w:rFonts w:cs="Arial"/>
                <w:b/>
                <w:bCs/>
                <w:sz w:val="20"/>
              </w:rPr>
            </w:pPr>
            <w:r w:rsidRPr="00FA34B0">
              <w:rPr>
                <w:rFonts w:cs="Arial"/>
                <w:b/>
                <w:bCs/>
                <w:sz w:val="20"/>
              </w:rPr>
              <w:t>1. Population Needs</w:t>
            </w:r>
          </w:p>
        </w:tc>
      </w:tr>
      <w:tr w:rsidR="001E2E94" w:rsidRPr="00FA34B0" w14:paraId="4DE625CC" w14:textId="77777777" w:rsidTr="001E2E94">
        <w:tc>
          <w:tcPr>
            <w:tcW w:w="9016" w:type="dxa"/>
          </w:tcPr>
          <w:p w14:paraId="2D78C9CC" w14:textId="57493408" w:rsidR="001E2E94" w:rsidRPr="006969ED" w:rsidRDefault="001E2E94" w:rsidP="001E2E94">
            <w:pPr>
              <w:rPr>
                <w:rFonts w:cs="Arial"/>
                <w:b/>
                <w:bCs/>
                <w:sz w:val="20"/>
              </w:rPr>
            </w:pPr>
            <w:r w:rsidRPr="006969ED">
              <w:rPr>
                <w:rFonts w:cs="Arial"/>
                <w:b/>
                <w:bCs/>
                <w:sz w:val="20"/>
              </w:rPr>
              <w:t xml:space="preserve">1.1 National context </w:t>
            </w:r>
          </w:p>
          <w:p w14:paraId="52F0ED98" w14:textId="77777777" w:rsidR="00BB2A12" w:rsidRPr="00FA34B0" w:rsidRDefault="00BB2A12" w:rsidP="00BB2A12">
            <w:pPr>
              <w:spacing w:before="240"/>
              <w:contextualSpacing/>
              <w:rPr>
                <w:rFonts w:cs="Arial"/>
                <w:sz w:val="20"/>
              </w:rPr>
            </w:pPr>
            <w:r w:rsidRPr="00FA34B0">
              <w:rPr>
                <w:rFonts w:cs="Arial"/>
                <w:sz w:val="20"/>
              </w:rPr>
              <w:t xml:space="preserve">Smoking remains the single largest cause of preventable illness and premature death in the UK despite efforts to </w:t>
            </w:r>
            <w:proofErr w:type="spellStart"/>
            <w:r w:rsidRPr="00FA34B0">
              <w:rPr>
                <w:rFonts w:cs="Arial"/>
                <w:sz w:val="20"/>
              </w:rPr>
              <w:t>denormalise</w:t>
            </w:r>
            <w:proofErr w:type="spellEnd"/>
            <w:r w:rsidRPr="00FA34B0">
              <w:rPr>
                <w:rFonts w:cs="Arial"/>
                <w:sz w:val="20"/>
              </w:rPr>
              <w:t xml:space="preserve"> smoking nationally which has contributed to significant reductions in the proportion of the population who smoke.</w:t>
            </w:r>
          </w:p>
          <w:p w14:paraId="7FD7D4BB" w14:textId="77777777" w:rsidR="00BB2A12" w:rsidRPr="00FA34B0" w:rsidRDefault="00BB2A12" w:rsidP="00BB2A12">
            <w:pPr>
              <w:contextualSpacing/>
              <w:rPr>
                <w:rFonts w:cs="Arial"/>
                <w:sz w:val="20"/>
              </w:rPr>
            </w:pPr>
          </w:p>
          <w:p w14:paraId="1608F515" w14:textId="77777777" w:rsidR="00BB2A12" w:rsidRPr="00FA34B0" w:rsidRDefault="00BB2A12" w:rsidP="00BB2A12">
            <w:pPr>
              <w:contextualSpacing/>
              <w:rPr>
                <w:rFonts w:cs="Arial"/>
                <w:sz w:val="20"/>
              </w:rPr>
            </w:pPr>
            <w:r w:rsidRPr="00FA34B0">
              <w:rPr>
                <w:rFonts w:cs="Arial"/>
                <w:sz w:val="20"/>
              </w:rPr>
              <w:t>Smoking prevalence is higher amongst routine and manual workers than for those in professional and managerial socio-economic groups and people on low incomes have a significantly higher smoking rate.  There is also evidence to suggest that people in lower socio-economic groups are likely to find it more difficult to quit without support.</w:t>
            </w:r>
          </w:p>
          <w:p w14:paraId="70AEF6E0" w14:textId="77777777" w:rsidR="00BB2A12" w:rsidRPr="00FA34B0" w:rsidRDefault="00BB2A12" w:rsidP="00BB2A12">
            <w:pPr>
              <w:contextualSpacing/>
              <w:rPr>
                <w:rFonts w:cs="Arial"/>
                <w:sz w:val="20"/>
              </w:rPr>
            </w:pPr>
          </w:p>
          <w:p w14:paraId="0341DDD3" w14:textId="77777777" w:rsidR="00BB2A12" w:rsidRPr="00FA34B0" w:rsidRDefault="00BB2A12" w:rsidP="00BB2A12">
            <w:pPr>
              <w:contextualSpacing/>
              <w:rPr>
                <w:rFonts w:cs="Arial"/>
                <w:sz w:val="20"/>
              </w:rPr>
            </w:pPr>
            <w:r w:rsidRPr="00FA34B0">
              <w:rPr>
                <w:rFonts w:cs="Arial"/>
                <w:sz w:val="20"/>
              </w:rPr>
              <w:t>Community pharmacies have a key role to play in providing brief interventions for smoking cessation. Evidence suggests that, given appropriate training, community pharmacists delivering smoking cessation support can have similar success rates to that of nurses. There is also some evidence that involving community pharmacy support staff in brief interventions around smoking can increase the provision and the recording of smoking status in patient’s medications records.</w:t>
            </w:r>
          </w:p>
          <w:p w14:paraId="312426CA" w14:textId="77777777" w:rsidR="00BB2A12" w:rsidRPr="00FA34B0" w:rsidRDefault="00BB2A12" w:rsidP="001E2E94">
            <w:pPr>
              <w:rPr>
                <w:rFonts w:cs="Arial"/>
                <w:sz w:val="20"/>
              </w:rPr>
            </w:pPr>
          </w:p>
          <w:p w14:paraId="5C1EC2EE" w14:textId="77777777" w:rsidR="001E2E94" w:rsidRPr="006969ED" w:rsidRDefault="001E2E94" w:rsidP="001E2E94">
            <w:pPr>
              <w:rPr>
                <w:rFonts w:cs="Arial"/>
                <w:b/>
                <w:bCs/>
                <w:sz w:val="20"/>
              </w:rPr>
            </w:pPr>
            <w:r w:rsidRPr="006969ED">
              <w:rPr>
                <w:rFonts w:cs="Arial"/>
                <w:b/>
                <w:bCs/>
                <w:sz w:val="20"/>
              </w:rPr>
              <w:t xml:space="preserve">1.2 Local context </w:t>
            </w:r>
          </w:p>
          <w:p w14:paraId="2328FE27" w14:textId="77777777" w:rsidR="00F82814" w:rsidRPr="00FA34B0" w:rsidRDefault="00F82814" w:rsidP="00F82814">
            <w:pPr>
              <w:rPr>
                <w:rFonts w:cs="Arial"/>
                <w:sz w:val="20"/>
              </w:rPr>
            </w:pPr>
            <w:r w:rsidRPr="00FA34B0">
              <w:rPr>
                <w:rFonts w:cs="Arial"/>
                <w:sz w:val="20"/>
              </w:rPr>
              <w:t xml:space="preserve">According to 2021 Annual Population Survey, the adult smoking rate in Halton was 13.2%, a reduction since 2011 when the percentage was estimated to be 22.9%. This is similar to the England average of 13%, with the worst rate in England being 22% and the best being 6.6%. </w:t>
            </w:r>
          </w:p>
          <w:p w14:paraId="76AAE1E6" w14:textId="77777777" w:rsidR="00F82814" w:rsidRPr="00FA34B0" w:rsidRDefault="00F82814" w:rsidP="00F82814">
            <w:pPr>
              <w:rPr>
                <w:rFonts w:cs="Arial"/>
                <w:sz w:val="20"/>
              </w:rPr>
            </w:pPr>
            <w:r w:rsidRPr="00FA34B0">
              <w:rPr>
                <w:rFonts w:cs="Arial"/>
                <w:sz w:val="20"/>
              </w:rPr>
              <w:t>There have been reductions in smoking levels locally, and these figures show that Halton percentage is now similar to the England average.</w:t>
            </w:r>
          </w:p>
          <w:p w14:paraId="2CB59A1D" w14:textId="6808BD1B" w:rsidR="00F82814" w:rsidRPr="00FA34B0" w:rsidRDefault="00F82814" w:rsidP="001E2E94">
            <w:pPr>
              <w:rPr>
                <w:rFonts w:cs="Arial"/>
                <w:sz w:val="20"/>
              </w:rPr>
            </w:pPr>
          </w:p>
        </w:tc>
      </w:tr>
      <w:tr w:rsidR="001E2E94" w:rsidRPr="00FA34B0" w14:paraId="1B3BD82D" w14:textId="77777777" w:rsidTr="006969ED">
        <w:tc>
          <w:tcPr>
            <w:tcW w:w="9016" w:type="dxa"/>
            <w:shd w:val="clear" w:color="auto" w:fill="BFBFBF" w:themeFill="background1" w:themeFillShade="BF"/>
          </w:tcPr>
          <w:p w14:paraId="1144E618" w14:textId="0671FB40" w:rsidR="001E2E94" w:rsidRPr="006969ED" w:rsidRDefault="001E2E94">
            <w:pPr>
              <w:rPr>
                <w:rFonts w:cs="Arial"/>
                <w:b/>
                <w:bCs/>
                <w:sz w:val="20"/>
              </w:rPr>
            </w:pPr>
            <w:r w:rsidRPr="006969ED">
              <w:rPr>
                <w:rFonts w:cs="Arial"/>
                <w:b/>
                <w:bCs/>
                <w:sz w:val="20"/>
              </w:rPr>
              <w:t>2. Outcomes</w:t>
            </w:r>
          </w:p>
        </w:tc>
      </w:tr>
      <w:tr w:rsidR="001E2E94" w:rsidRPr="00FA34B0" w14:paraId="0BCA9D16" w14:textId="77777777" w:rsidTr="001E2E94">
        <w:tc>
          <w:tcPr>
            <w:tcW w:w="9016" w:type="dxa"/>
          </w:tcPr>
          <w:p w14:paraId="0BE2902C" w14:textId="77777777" w:rsidR="00DD27FA" w:rsidRPr="00FA34B0" w:rsidRDefault="00DD27FA" w:rsidP="00DD27FA">
            <w:pPr>
              <w:rPr>
                <w:rFonts w:cs="Arial"/>
                <w:sz w:val="20"/>
              </w:rPr>
            </w:pPr>
            <w:r w:rsidRPr="00FA34B0">
              <w:rPr>
                <w:rFonts w:cs="Arial"/>
                <w:sz w:val="20"/>
              </w:rPr>
              <w:t>The service will make a significant contribution to the following objectives within the Public Health Outcomes Framework.</w:t>
            </w:r>
          </w:p>
          <w:p w14:paraId="0DC1B012" w14:textId="77777777" w:rsidR="00DD27FA" w:rsidRPr="00FA34B0" w:rsidRDefault="00DD27FA" w:rsidP="00DD27FA">
            <w:pPr>
              <w:pStyle w:val="ListParagraph"/>
              <w:numPr>
                <w:ilvl w:val="0"/>
                <w:numId w:val="2"/>
              </w:numPr>
              <w:contextualSpacing w:val="0"/>
              <w:rPr>
                <w:rFonts w:cs="Arial"/>
                <w:sz w:val="20"/>
              </w:rPr>
            </w:pPr>
            <w:r w:rsidRPr="00FA34B0">
              <w:rPr>
                <w:rFonts w:cs="Arial"/>
                <w:sz w:val="20"/>
              </w:rPr>
              <w:t>People are helped to live healthy lifestyles, make healthy choices and reduce health inequalities;</w:t>
            </w:r>
          </w:p>
          <w:p w14:paraId="5A8C4BF9" w14:textId="77777777" w:rsidR="00DD27FA" w:rsidRPr="00FA34B0" w:rsidRDefault="00DD27FA" w:rsidP="00DD27FA">
            <w:pPr>
              <w:pStyle w:val="ListParagraph"/>
              <w:numPr>
                <w:ilvl w:val="0"/>
                <w:numId w:val="2"/>
              </w:numPr>
              <w:contextualSpacing w:val="0"/>
              <w:rPr>
                <w:rFonts w:cs="Arial"/>
                <w:sz w:val="20"/>
              </w:rPr>
            </w:pPr>
            <w:r w:rsidRPr="00FA34B0">
              <w:rPr>
                <w:rFonts w:cs="Arial"/>
                <w:sz w:val="20"/>
              </w:rPr>
              <w:t>Reduced numbers of people living with preventable ill health and people dying prematurely, while reducing the gap between communities.</w:t>
            </w:r>
          </w:p>
          <w:p w14:paraId="61E0E553" w14:textId="77777777" w:rsidR="001E2E94" w:rsidRPr="00FA34B0" w:rsidRDefault="001E2E94">
            <w:pPr>
              <w:rPr>
                <w:rFonts w:cs="Arial"/>
                <w:sz w:val="20"/>
              </w:rPr>
            </w:pPr>
          </w:p>
        </w:tc>
      </w:tr>
      <w:tr w:rsidR="001E2E94" w:rsidRPr="00FA34B0" w14:paraId="4D44D88E" w14:textId="77777777" w:rsidTr="006969ED">
        <w:tc>
          <w:tcPr>
            <w:tcW w:w="9016" w:type="dxa"/>
            <w:shd w:val="clear" w:color="auto" w:fill="BFBFBF" w:themeFill="background1" w:themeFillShade="BF"/>
          </w:tcPr>
          <w:p w14:paraId="76F91919" w14:textId="64A33BE4" w:rsidR="001E2E94" w:rsidRPr="006969ED" w:rsidRDefault="001E2E94">
            <w:pPr>
              <w:rPr>
                <w:rFonts w:cs="Arial"/>
                <w:b/>
                <w:bCs/>
                <w:sz w:val="20"/>
              </w:rPr>
            </w:pPr>
            <w:r w:rsidRPr="006969ED">
              <w:rPr>
                <w:rFonts w:cs="Arial"/>
                <w:b/>
                <w:bCs/>
                <w:sz w:val="20"/>
              </w:rPr>
              <w:t>3. Overview</w:t>
            </w:r>
          </w:p>
        </w:tc>
      </w:tr>
      <w:tr w:rsidR="001E2E94" w:rsidRPr="00FA34B0" w14:paraId="2EBDB2F6" w14:textId="77777777" w:rsidTr="001E2E94">
        <w:tc>
          <w:tcPr>
            <w:tcW w:w="9016" w:type="dxa"/>
          </w:tcPr>
          <w:p w14:paraId="03703EDC" w14:textId="77777777" w:rsidR="001E2E94" w:rsidRPr="006969ED" w:rsidRDefault="001E2E94">
            <w:pPr>
              <w:rPr>
                <w:rFonts w:cs="Arial"/>
                <w:b/>
                <w:bCs/>
                <w:sz w:val="20"/>
              </w:rPr>
            </w:pPr>
            <w:r w:rsidRPr="006969ED">
              <w:rPr>
                <w:rFonts w:cs="Arial"/>
                <w:b/>
                <w:bCs/>
                <w:sz w:val="20"/>
              </w:rPr>
              <w:t>3.1 Scope</w:t>
            </w:r>
          </w:p>
          <w:p w14:paraId="18A97D03" w14:textId="79B74F56" w:rsidR="00B4459B" w:rsidRPr="00FA34B0" w:rsidRDefault="00B4459B" w:rsidP="00B4459B">
            <w:pPr>
              <w:contextualSpacing/>
              <w:rPr>
                <w:rFonts w:cs="Arial"/>
                <w:bCs/>
                <w:sz w:val="20"/>
              </w:rPr>
            </w:pPr>
            <w:r w:rsidRPr="00FA34B0">
              <w:rPr>
                <w:rFonts w:cs="Arial"/>
                <w:bCs/>
                <w:sz w:val="20"/>
              </w:rPr>
              <w:t xml:space="preserve">This contract relates to the service for providing one to one support and advice for clients who wish to stop smoking and facilitating access to appropriate smoking cessation products.  </w:t>
            </w:r>
          </w:p>
          <w:p w14:paraId="5B21543F" w14:textId="77777777" w:rsidR="009E18F0" w:rsidRPr="009E18F0" w:rsidRDefault="00B4459B" w:rsidP="009E18F0">
            <w:pPr>
              <w:pStyle w:val="pf0"/>
              <w:rPr>
                <w:rFonts w:ascii="Arial" w:hAnsi="Arial" w:cs="Arial"/>
                <w:bCs/>
                <w:sz w:val="20"/>
                <w:szCs w:val="20"/>
                <w:lang w:eastAsia="en-US"/>
              </w:rPr>
            </w:pPr>
            <w:r w:rsidRPr="009E18F0">
              <w:rPr>
                <w:rFonts w:ascii="Arial" w:hAnsi="Arial" w:cs="Arial"/>
                <w:bCs/>
                <w:sz w:val="20"/>
                <w:szCs w:val="20"/>
                <w:lang w:eastAsia="en-US"/>
              </w:rPr>
              <w:t xml:space="preserve">The support will take the form of one to one private consultations with the client.  </w:t>
            </w:r>
            <w:r w:rsidR="009E18F0" w:rsidRPr="009E18F0">
              <w:rPr>
                <w:rFonts w:ascii="Arial" w:hAnsi="Arial" w:cs="Arial"/>
                <w:bCs/>
                <w:sz w:val="20"/>
                <w:szCs w:val="20"/>
                <w:lang w:eastAsia="en-US"/>
              </w:rPr>
              <w:t>It is recommended that for the first 4 weeks of a quit attempt the pharmacy advisor should see a client weekly to offer behavioural support and review the quantity of NRT supplied to ensure optimum management of client’s cravings and withdrawal symptoms.</w:t>
            </w:r>
          </w:p>
          <w:p w14:paraId="377D7B92" w14:textId="5B9455B7" w:rsidR="00BB19B1" w:rsidRDefault="00B4459B" w:rsidP="009E18F0">
            <w:pPr>
              <w:pStyle w:val="pf0"/>
              <w:rPr>
                <w:rFonts w:ascii="Arial" w:hAnsi="Arial" w:cs="Arial"/>
                <w:bCs/>
                <w:sz w:val="20"/>
                <w:szCs w:val="20"/>
                <w:lang w:eastAsia="en-US"/>
              </w:rPr>
            </w:pPr>
            <w:r w:rsidRPr="009E18F0">
              <w:rPr>
                <w:rFonts w:ascii="Arial" w:hAnsi="Arial" w:cs="Arial"/>
                <w:bCs/>
                <w:sz w:val="20"/>
                <w:szCs w:val="20"/>
                <w:lang w:eastAsia="en-US"/>
              </w:rPr>
              <w:t xml:space="preserve">Community pharmacies (herein known as service providers) who wish to provide this service must also provide the NRT Voucher scheme for which there is a separate specification. </w:t>
            </w:r>
          </w:p>
          <w:p w14:paraId="2BD98EEB" w14:textId="77777777" w:rsidR="00777A04" w:rsidRDefault="00777A04" w:rsidP="009E18F0">
            <w:pPr>
              <w:pStyle w:val="pf0"/>
              <w:rPr>
                <w:rFonts w:ascii="Arial" w:hAnsi="Arial" w:cs="Arial"/>
                <w:bCs/>
                <w:sz w:val="20"/>
                <w:szCs w:val="20"/>
                <w:lang w:eastAsia="en-US"/>
              </w:rPr>
            </w:pPr>
          </w:p>
          <w:p w14:paraId="4EB9ED46" w14:textId="786D840B" w:rsidR="001E2E94" w:rsidRPr="00BB19B1" w:rsidRDefault="001E2E94">
            <w:pPr>
              <w:rPr>
                <w:rFonts w:cs="Arial"/>
                <w:b/>
                <w:bCs/>
                <w:sz w:val="20"/>
              </w:rPr>
            </w:pPr>
            <w:r w:rsidRPr="00BB19B1">
              <w:rPr>
                <w:rFonts w:cs="Arial"/>
                <w:b/>
                <w:bCs/>
                <w:sz w:val="20"/>
              </w:rPr>
              <w:lastRenderedPageBreak/>
              <w:t xml:space="preserve">3.2 Aims and objectives of service </w:t>
            </w:r>
          </w:p>
          <w:p w14:paraId="4BB13273" w14:textId="77777777" w:rsidR="001C73AC" w:rsidRPr="00FA34B0" w:rsidRDefault="001C73AC" w:rsidP="001C73AC">
            <w:pPr>
              <w:rPr>
                <w:rFonts w:cs="Arial"/>
                <w:bCs/>
                <w:sz w:val="20"/>
              </w:rPr>
            </w:pPr>
            <w:r w:rsidRPr="00FA34B0">
              <w:rPr>
                <w:rFonts w:cs="Arial"/>
                <w:bCs/>
                <w:sz w:val="20"/>
              </w:rPr>
              <w:t>The service aims to provide enhanced access for patients seeking help to stop smoking via the existing network of community pharmacies.</w:t>
            </w:r>
          </w:p>
          <w:p w14:paraId="67E9544B" w14:textId="77777777" w:rsidR="001C73AC" w:rsidRPr="00FA34B0" w:rsidRDefault="001C73AC" w:rsidP="001C73AC">
            <w:pPr>
              <w:rPr>
                <w:rFonts w:cs="Arial"/>
                <w:bCs/>
                <w:sz w:val="20"/>
              </w:rPr>
            </w:pPr>
          </w:p>
          <w:p w14:paraId="7D53BE5F" w14:textId="77777777" w:rsidR="001C73AC" w:rsidRPr="00FA34B0" w:rsidRDefault="001C73AC" w:rsidP="001C73AC">
            <w:pPr>
              <w:rPr>
                <w:rFonts w:cs="Arial"/>
                <w:bCs/>
                <w:sz w:val="20"/>
              </w:rPr>
            </w:pPr>
            <w:r w:rsidRPr="00FA34B0">
              <w:rPr>
                <w:rFonts w:cs="Arial"/>
                <w:bCs/>
                <w:sz w:val="20"/>
              </w:rPr>
              <w:t>The objectives of the service are:</w:t>
            </w:r>
          </w:p>
          <w:p w14:paraId="10BB4FC1" w14:textId="77777777" w:rsidR="001C73AC" w:rsidRPr="00FA34B0" w:rsidRDefault="001C73AC" w:rsidP="001C73AC">
            <w:pPr>
              <w:rPr>
                <w:rFonts w:cs="Arial"/>
                <w:bCs/>
                <w:sz w:val="20"/>
              </w:rPr>
            </w:pPr>
          </w:p>
          <w:p w14:paraId="7CEF61B9" w14:textId="77777777" w:rsidR="001C73AC" w:rsidRPr="00FA34B0" w:rsidRDefault="001C73AC" w:rsidP="001C73AC">
            <w:pPr>
              <w:pStyle w:val="ListParagraph"/>
              <w:numPr>
                <w:ilvl w:val="0"/>
                <w:numId w:val="3"/>
              </w:numPr>
              <w:rPr>
                <w:rFonts w:cs="Arial"/>
                <w:bCs/>
                <w:sz w:val="20"/>
              </w:rPr>
            </w:pPr>
            <w:r w:rsidRPr="00FA34B0">
              <w:rPr>
                <w:rFonts w:cs="Arial"/>
                <w:bCs/>
                <w:sz w:val="20"/>
              </w:rPr>
              <w:t>To improve access to and choice of Stop Smoking services.</w:t>
            </w:r>
          </w:p>
          <w:p w14:paraId="0684E268" w14:textId="77777777" w:rsidR="001C73AC" w:rsidRPr="00FA34B0" w:rsidRDefault="001C73AC" w:rsidP="001C73AC">
            <w:pPr>
              <w:pStyle w:val="ListParagraph"/>
              <w:numPr>
                <w:ilvl w:val="0"/>
                <w:numId w:val="3"/>
              </w:numPr>
              <w:rPr>
                <w:rFonts w:cs="Arial"/>
                <w:bCs/>
                <w:sz w:val="20"/>
              </w:rPr>
            </w:pPr>
            <w:r w:rsidRPr="00FA34B0">
              <w:rPr>
                <w:rFonts w:cs="Arial"/>
                <w:bCs/>
                <w:sz w:val="20"/>
              </w:rPr>
              <w:t>To assist in the delivery of local smoking cessation targets.</w:t>
            </w:r>
          </w:p>
          <w:p w14:paraId="32EE6E59" w14:textId="77777777" w:rsidR="001C73AC" w:rsidRPr="00FA34B0" w:rsidRDefault="001C73AC" w:rsidP="001C73AC">
            <w:pPr>
              <w:pStyle w:val="ListParagraph"/>
              <w:numPr>
                <w:ilvl w:val="0"/>
                <w:numId w:val="3"/>
              </w:numPr>
              <w:rPr>
                <w:rFonts w:cs="Arial"/>
                <w:bCs/>
                <w:sz w:val="20"/>
              </w:rPr>
            </w:pPr>
            <w:r w:rsidRPr="00FA34B0">
              <w:rPr>
                <w:rFonts w:cs="Arial"/>
                <w:bCs/>
                <w:sz w:val="20"/>
              </w:rPr>
              <w:t xml:space="preserve">To reduce smoking related illnesses and deaths by helping people to give up smoking. </w:t>
            </w:r>
          </w:p>
          <w:p w14:paraId="000C1983" w14:textId="77777777" w:rsidR="001C73AC" w:rsidRPr="00FA34B0" w:rsidRDefault="001C73AC" w:rsidP="001C73AC">
            <w:pPr>
              <w:pStyle w:val="ListParagraph"/>
              <w:numPr>
                <w:ilvl w:val="0"/>
                <w:numId w:val="3"/>
              </w:numPr>
              <w:rPr>
                <w:rFonts w:cs="Arial"/>
                <w:bCs/>
                <w:sz w:val="20"/>
              </w:rPr>
            </w:pPr>
            <w:r w:rsidRPr="00FA34B0">
              <w:rPr>
                <w:rFonts w:cs="Arial"/>
                <w:bCs/>
                <w:sz w:val="20"/>
              </w:rPr>
              <w:t>To improve the health of the population by reducing passive exposure to smoke.</w:t>
            </w:r>
          </w:p>
          <w:p w14:paraId="7EA2EED4" w14:textId="77777777" w:rsidR="001C73AC" w:rsidRPr="00FA34B0" w:rsidRDefault="001C73AC">
            <w:pPr>
              <w:rPr>
                <w:rFonts w:cs="Arial"/>
                <w:sz w:val="20"/>
              </w:rPr>
            </w:pPr>
          </w:p>
          <w:p w14:paraId="22BABC85" w14:textId="0CAE26E5" w:rsidR="001E2E94" w:rsidRPr="006969ED" w:rsidRDefault="001E2E94">
            <w:pPr>
              <w:rPr>
                <w:rFonts w:cs="Arial"/>
                <w:b/>
                <w:bCs/>
                <w:sz w:val="20"/>
              </w:rPr>
            </w:pPr>
            <w:r w:rsidRPr="006969ED">
              <w:rPr>
                <w:rFonts w:cs="Arial"/>
                <w:b/>
                <w:bCs/>
                <w:sz w:val="20"/>
              </w:rPr>
              <w:t>3.3 Population covered</w:t>
            </w:r>
          </w:p>
          <w:p w14:paraId="30A1EBAA" w14:textId="48BE4B83" w:rsidR="00AD37B9" w:rsidRDefault="006B0C18" w:rsidP="006B0C18">
            <w:pPr>
              <w:rPr>
                <w:rFonts w:cs="Arial"/>
                <w:bCs/>
                <w:sz w:val="20"/>
              </w:rPr>
            </w:pPr>
            <w:r w:rsidRPr="00FA34B0">
              <w:rPr>
                <w:rFonts w:cs="Arial"/>
                <w:bCs/>
                <w:sz w:val="20"/>
              </w:rPr>
              <w:t>Clients fulfilling the criteria set out in the Halton Stop Smoking Service protocol</w:t>
            </w:r>
            <w:r w:rsidR="00106627">
              <w:rPr>
                <w:rFonts w:cs="Arial"/>
                <w:bCs/>
                <w:sz w:val="20"/>
              </w:rPr>
              <w:t xml:space="preserve"> which can be found on </w:t>
            </w:r>
            <w:proofErr w:type="spellStart"/>
            <w:r w:rsidR="00106627">
              <w:rPr>
                <w:rFonts w:cs="Arial"/>
                <w:bCs/>
                <w:sz w:val="20"/>
              </w:rPr>
              <w:t>PharmOutcomes</w:t>
            </w:r>
            <w:proofErr w:type="spellEnd"/>
            <w:r w:rsidR="00106627">
              <w:rPr>
                <w:rFonts w:cs="Arial"/>
                <w:bCs/>
                <w:sz w:val="20"/>
              </w:rPr>
              <w:t>.</w:t>
            </w:r>
          </w:p>
          <w:p w14:paraId="345C07C7" w14:textId="77777777" w:rsidR="00AD37B9" w:rsidRDefault="00AD37B9" w:rsidP="006B0C18">
            <w:pPr>
              <w:rPr>
                <w:rFonts w:cs="Arial"/>
                <w:bCs/>
                <w:sz w:val="20"/>
              </w:rPr>
            </w:pPr>
          </w:p>
          <w:p w14:paraId="3E392FD7" w14:textId="4EDAA0EA" w:rsidR="006B0C18" w:rsidRPr="00FA34B0" w:rsidRDefault="006B0C18" w:rsidP="006B0C18">
            <w:pPr>
              <w:rPr>
                <w:rFonts w:cs="Arial"/>
                <w:bCs/>
                <w:sz w:val="20"/>
              </w:rPr>
            </w:pPr>
            <w:r w:rsidRPr="00FA34B0">
              <w:rPr>
                <w:rFonts w:cs="Arial"/>
                <w:bCs/>
                <w:sz w:val="20"/>
              </w:rPr>
              <w:t>The service is only available for people aged 16 or over.  Clients under this age should be referred to the Halton Stop Smoking Service.</w:t>
            </w:r>
          </w:p>
          <w:p w14:paraId="4159D080" w14:textId="77777777" w:rsidR="006B0C18" w:rsidRPr="00AF756D" w:rsidRDefault="006B0C18">
            <w:pPr>
              <w:rPr>
                <w:rFonts w:cs="Arial"/>
                <w:b/>
                <w:bCs/>
                <w:sz w:val="20"/>
              </w:rPr>
            </w:pPr>
          </w:p>
          <w:p w14:paraId="38F65E49" w14:textId="77777777" w:rsidR="001E2E94" w:rsidRPr="00AF756D" w:rsidRDefault="001E2E94">
            <w:pPr>
              <w:rPr>
                <w:rFonts w:cs="Arial"/>
                <w:b/>
                <w:bCs/>
                <w:sz w:val="20"/>
              </w:rPr>
            </w:pPr>
            <w:r w:rsidRPr="00AF756D">
              <w:rPr>
                <w:rFonts w:cs="Arial"/>
                <w:b/>
                <w:bCs/>
                <w:sz w:val="20"/>
              </w:rPr>
              <w:t>3.4 Any acceptance and exclusion criteria and thresholds</w:t>
            </w:r>
          </w:p>
          <w:p w14:paraId="718700D0" w14:textId="77777777" w:rsidR="00853C4B" w:rsidRPr="00FA34B0" w:rsidRDefault="00853C4B" w:rsidP="00853C4B">
            <w:pPr>
              <w:rPr>
                <w:rFonts w:cs="Arial"/>
                <w:bCs/>
                <w:sz w:val="20"/>
              </w:rPr>
            </w:pPr>
            <w:r w:rsidRPr="00FA34B0">
              <w:rPr>
                <w:rFonts w:cs="Arial"/>
                <w:bCs/>
                <w:sz w:val="20"/>
              </w:rPr>
              <w:t xml:space="preserve">This service will provide one to one support and advice to people who want to give up smoking and will facilitate access to and where appropriate supply advice and appropriate smoking cessation products with supporting information materials. </w:t>
            </w:r>
          </w:p>
          <w:p w14:paraId="63371642" w14:textId="77777777" w:rsidR="00853C4B" w:rsidRPr="00FA34B0" w:rsidRDefault="00853C4B" w:rsidP="00853C4B">
            <w:pPr>
              <w:rPr>
                <w:rFonts w:cs="Arial"/>
                <w:bCs/>
                <w:sz w:val="20"/>
              </w:rPr>
            </w:pPr>
          </w:p>
          <w:p w14:paraId="535DD4FE" w14:textId="77777777" w:rsidR="00853C4B" w:rsidRPr="00FA34B0" w:rsidRDefault="00853C4B" w:rsidP="00853C4B">
            <w:pPr>
              <w:rPr>
                <w:rFonts w:cs="Arial"/>
                <w:bCs/>
                <w:sz w:val="20"/>
              </w:rPr>
            </w:pPr>
            <w:r w:rsidRPr="00FA34B0">
              <w:rPr>
                <w:rFonts w:cs="Arial"/>
                <w:bCs/>
                <w:sz w:val="20"/>
              </w:rPr>
              <w:t>An appropriately trained smoking cessation specialist will be responsible for offering and providing, with the client’s consent, support, choice of product and follow-up according to the local treatment protocol and National Institute for Health and Clinical Excellence (NICE) guidance.  The smoking cessation specialist will be responsible for ensuring that details of consultations and advice provided to each client referred to the service is recorded.</w:t>
            </w:r>
          </w:p>
          <w:p w14:paraId="51C0E725" w14:textId="77777777" w:rsidR="00853C4B" w:rsidRPr="00FA34B0" w:rsidRDefault="00853C4B" w:rsidP="00853C4B">
            <w:pPr>
              <w:rPr>
                <w:rFonts w:cs="Arial"/>
                <w:bCs/>
                <w:sz w:val="20"/>
              </w:rPr>
            </w:pPr>
          </w:p>
          <w:p w14:paraId="1F2972D0" w14:textId="332286FE" w:rsidR="00853C4B" w:rsidRPr="00FA34B0" w:rsidRDefault="00CA6280" w:rsidP="00853C4B">
            <w:pPr>
              <w:rPr>
                <w:rFonts w:cs="Arial"/>
                <w:bCs/>
                <w:sz w:val="20"/>
              </w:rPr>
            </w:pPr>
            <w:r w:rsidRPr="00CA6280">
              <w:rPr>
                <w:rFonts w:cs="Arial"/>
                <w:bCs/>
                <w:sz w:val="20"/>
              </w:rPr>
              <w:t>Based on the pharmacy stop smoking advisor consultation and in accordance with the NRT protocols and guidance, the pharmacy will supply appropriate smoking cessation pharmacotherapy, e.g., NRT</w:t>
            </w:r>
          </w:p>
          <w:p w14:paraId="14266750" w14:textId="77777777" w:rsidR="00853C4B" w:rsidRPr="00CA6280" w:rsidRDefault="00853C4B" w:rsidP="00853C4B">
            <w:pPr>
              <w:spacing w:before="60" w:after="60"/>
              <w:rPr>
                <w:rFonts w:cs="Arial"/>
                <w:bCs/>
                <w:sz w:val="20"/>
              </w:rPr>
            </w:pPr>
            <w:r w:rsidRPr="00CA6280">
              <w:rPr>
                <w:rFonts w:cs="Arial"/>
                <w:bCs/>
                <w:sz w:val="20"/>
              </w:rPr>
              <w:t>The service does not currently include for the provision of electronic cigarettes.</w:t>
            </w:r>
          </w:p>
          <w:p w14:paraId="131D9919" w14:textId="77777777" w:rsidR="00853C4B" w:rsidRPr="00FA34B0" w:rsidRDefault="00853C4B">
            <w:pPr>
              <w:rPr>
                <w:rFonts w:cs="Arial"/>
                <w:sz w:val="20"/>
              </w:rPr>
            </w:pPr>
          </w:p>
          <w:p w14:paraId="781915D7" w14:textId="77777777" w:rsidR="001E2E94" w:rsidRPr="00FA34B0" w:rsidRDefault="001E2E94">
            <w:pPr>
              <w:rPr>
                <w:rFonts w:cs="Arial"/>
                <w:sz w:val="20"/>
              </w:rPr>
            </w:pPr>
            <w:r w:rsidRPr="006969ED">
              <w:rPr>
                <w:rFonts w:cs="Arial"/>
                <w:b/>
                <w:bCs/>
                <w:sz w:val="20"/>
              </w:rPr>
              <w:t>3.</w:t>
            </w:r>
            <w:r w:rsidRPr="00AF756D">
              <w:rPr>
                <w:rFonts w:cs="Arial"/>
                <w:b/>
                <w:bCs/>
                <w:sz w:val="20"/>
              </w:rPr>
              <w:t>5 Interdependencies with other services</w:t>
            </w:r>
          </w:p>
          <w:p w14:paraId="139A06DA" w14:textId="280946D1" w:rsidR="00922E83" w:rsidRPr="00FA34B0" w:rsidRDefault="00922E83" w:rsidP="00922E83">
            <w:pPr>
              <w:contextualSpacing/>
              <w:rPr>
                <w:rFonts w:cs="Arial"/>
                <w:bCs/>
                <w:sz w:val="20"/>
              </w:rPr>
            </w:pPr>
            <w:r w:rsidRPr="005C59BA">
              <w:rPr>
                <w:rFonts w:cs="Arial"/>
                <w:bCs/>
                <w:sz w:val="20"/>
              </w:rPr>
              <w:t>This service will be supported by the Halton Stop Smoking Service who will conduct an initial visit to the service provider to provide information regarding the local service and supply and provide training in the use and calibration of necessary equipment. Thereafter the Stop Smoking service will provide ongoing support as necessary.</w:t>
            </w:r>
          </w:p>
          <w:p w14:paraId="386B9E05" w14:textId="77777777" w:rsidR="00922E83" w:rsidRPr="00FA34B0" w:rsidRDefault="00922E83">
            <w:pPr>
              <w:rPr>
                <w:rFonts w:cs="Arial"/>
                <w:sz w:val="20"/>
              </w:rPr>
            </w:pPr>
          </w:p>
          <w:p w14:paraId="5CA081CE" w14:textId="77777777" w:rsidR="001E2E94" w:rsidRPr="00AF756D" w:rsidRDefault="001E2E94">
            <w:pPr>
              <w:rPr>
                <w:rFonts w:cs="Arial"/>
                <w:b/>
                <w:bCs/>
                <w:sz w:val="20"/>
              </w:rPr>
            </w:pPr>
            <w:r w:rsidRPr="00AF756D">
              <w:rPr>
                <w:rFonts w:cs="Arial"/>
                <w:b/>
                <w:bCs/>
                <w:sz w:val="20"/>
              </w:rPr>
              <w:t>3.6 Any activity planning assumptions</w:t>
            </w:r>
          </w:p>
          <w:p w14:paraId="14A09C46" w14:textId="77777777" w:rsidR="001909D8" w:rsidRPr="00FA34B0" w:rsidRDefault="001909D8" w:rsidP="001909D8">
            <w:pPr>
              <w:rPr>
                <w:rFonts w:eastAsia="MS ??" w:cs="Arial"/>
                <w:bCs/>
                <w:sz w:val="20"/>
              </w:rPr>
            </w:pPr>
            <w:r w:rsidRPr="00FA34B0">
              <w:rPr>
                <w:rFonts w:eastAsia="MS ??" w:cs="Arial"/>
                <w:bCs/>
                <w:sz w:val="20"/>
              </w:rPr>
              <w:t>This service will work in conjunction with the “Stop Smoking Service Protocol”.</w:t>
            </w:r>
          </w:p>
          <w:p w14:paraId="7097D423" w14:textId="77777777" w:rsidR="001909D8" w:rsidRPr="00FA34B0" w:rsidRDefault="001909D8" w:rsidP="001909D8">
            <w:pPr>
              <w:rPr>
                <w:rFonts w:eastAsia="MS ??" w:cs="Arial"/>
                <w:bCs/>
                <w:sz w:val="20"/>
              </w:rPr>
            </w:pPr>
          </w:p>
          <w:p w14:paraId="0BB23116" w14:textId="77777777" w:rsidR="001909D8" w:rsidRPr="00FA34B0" w:rsidRDefault="001909D8" w:rsidP="001909D8">
            <w:pPr>
              <w:rPr>
                <w:rFonts w:eastAsia="MS ??" w:cs="Arial"/>
                <w:bCs/>
                <w:sz w:val="20"/>
              </w:rPr>
            </w:pPr>
            <w:r w:rsidRPr="00FA34B0">
              <w:rPr>
                <w:rFonts w:eastAsia="MS ??" w:cs="Arial"/>
                <w:bCs/>
                <w:sz w:val="20"/>
              </w:rPr>
              <w:t>The service provider will have in place robust systems for the identification, mitigation and management of clinical and non-clinical risk.</w:t>
            </w:r>
          </w:p>
          <w:p w14:paraId="65349ED1" w14:textId="2254FB7C" w:rsidR="001909D8" w:rsidRPr="00FA34B0" w:rsidRDefault="001909D8">
            <w:pPr>
              <w:rPr>
                <w:rFonts w:cs="Arial"/>
                <w:sz w:val="20"/>
              </w:rPr>
            </w:pPr>
          </w:p>
        </w:tc>
      </w:tr>
      <w:tr w:rsidR="001E2E94" w:rsidRPr="00FA34B0" w14:paraId="4DD0A300" w14:textId="77777777" w:rsidTr="006969ED">
        <w:tc>
          <w:tcPr>
            <w:tcW w:w="9016" w:type="dxa"/>
            <w:shd w:val="clear" w:color="auto" w:fill="BFBFBF" w:themeFill="background1" w:themeFillShade="BF"/>
          </w:tcPr>
          <w:p w14:paraId="3A619CFF" w14:textId="7FA45DFB" w:rsidR="001E2E94" w:rsidRPr="006969ED" w:rsidRDefault="001E2E94">
            <w:pPr>
              <w:rPr>
                <w:rFonts w:cs="Arial"/>
                <w:b/>
                <w:bCs/>
                <w:sz w:val="20"/>
              </w:rPr>
            </w:pPr>
            <w:r w:rsidRPr="006969ED">
              <w:rPr>
                <w:rFonts w:cs="Arial"/>
                <w:b/>
                <w:bCs/>
                <w:sz w:val="20"/>
              </w:rPr>
              <w:lastRenderedPageBreak/>
              <w:t>4. Service Description</w:t>
            </w:r>
          </w:p>
        </w:tc>
      </w:tr>
      <w:tr w:rsidR="001E2E94" w:rsidRPr="00FA34B0" w14:paraId="2DBDF835" w14:textId="77777777" w:rsidTr="001E2E94">
        <w:tc>
          <w:tcPr>
            <w:tcW w:w="9016" w:type="dxa"/>
          </w:tcPr>
          <w:p w14:paraId="58660F4E"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The service provider will provide one to one support and advice to the client as part of a series of weekly or fortnightly consultations for at least a four week period;</w:t>
            </w:r>
          </w:p>
          <w:p w14:paraId="5E660245" w14:textId="77777777" w:rsidR="0023762E" w:rsidRPr="00FA34B0" w:rsidRDefault="0023762E" w:rsidP="0023762E">
            <w:pPr>
              <w:rPr>
                <w:rFonts w:cs="Arial"/>
                <w:sz w:val="20"/>
                <w:lang w:eastAsia="en-GB"/>
              </w:rPr>
            </w:pPr>
          </w:p>
          <w:p w14:paraId="0A71F03B" w14:textId="68ED0B3F"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Initial consultations should:</w:t>
            </w:r>
          </w:p>
          <w:p w14:paraId="5019AEC5"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Provide information on the consequences of smoking, the benefits of smoking cessation and the main features of tobacco withdrawal syndrome;</w:t>
            </w:r>
          </w:p>
          <w:p w14:paraId="0452A345"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Assess smoking habits and behaviours of each client and apply diagnostic criteria;</w:t>
            </w:r>
          </w:p>
          <w:p w14:paraId="714E5086"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Assess current readiness and ability to quit including past history of quit attempts;</w:t>
            </w:r>
          </w:p>
          <w:p w14:paraId="6474294D"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 xml:space="preserve">Support clients to identify smoking and relapse triggers;  </w:t>
            </w:r>
          </w:p>
          <w:p w14:paraId="57615C4B"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Measure Carbon Monoxide (CO) levels using a CO monitor;</w:t>
            </w:r>
          </w:p>
          <w:p w14:paraId="4D1E839C"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Describe techniques to cope with urges to smoke;</w:t>
            </w:r>
          </w:p>
          <w:p w14:paraId="26ABD3C3"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Support clients to identify personal goals and develop action plans including setting a target quit date;</w:t>
            </w:r>
          </w:p>
          <w:p w14:paraId="28E79C62"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lastRenderedPageBreak/>
              <w:t>Offer appropriate written materials;</w:t>
            </w:r>
          </w:p>
          <w:p w14:paraId="58672C73"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Agree a chosen treatment pathway in accordance with the Stop Smoking Protocol, client choice and approval of duty pharmacist;</w:t>
            </w:r>
          </w:p>
          <w:p w14:paraId="0921113F" w14:textId="77777777" w:rsidR="0023762E" w:rsidRPr="00FA34B0" w:rsidRDefault="0023762E" w:rsidP="00654A02">
            <w:pPr>
              <w:pStyle w:val="ListParagraph"/>
              <w:numPr>
                <w:ilvl w:val="1"/>
                <w:numId w:val="9"/>
              </w:numPr>
              <w:suppressAutoHyphens w:val="0"/>
              <w:rPr>
                <w:rFonts w:cs="Arial"/>
                <w:sz w:val="20"/>
                <w:lang w:eastAsia="en-GB"/>
              </w:rPr>
            </w:pPr>
            <w:r w:rsidRPr="00FA34B0">
              <w:rPr>
                <w:rFonts w:cs="Arial"/>
                <w:sz w:val="20"/>
                <w:lang w:eastAsia="en-GB"/>
              </w:rPr>
              <w:t>Agree frequency and dates of follow up consultations.</w:t>
            </w:r>
          </w:p>
          <w:p w14:paraId="4E788E02" w14:textId="68DD1669" w:rsidR="00F71787" w:rsidRPr="005C27B0" w:rsidRDefault="00F71787" w:rsidP="00F71787">
            <w:pPr>
              <w:pStyle w:val="pf0"/>
              <w:numPr>
                <w:ilvl w:val="0"/>
                <w:numId w:val="9"/>
              </w:numPr>
              <w:rPr>
                <w:rFonts w:ascii="Arial" w:hAnsi="Arial" w:cs="Arial"/>
                <w:sz w:val="20"/>
                <w:szCs w:val="20"/>
              </w:rPr>
            </w:pPr>
            <w:r w:rsidRPr="005C27B0">
              <w:rPr>
                <w:rStyle w:val="cf01"/>
                <w:rFonts w:ascii="Arial" w:hAnsi="Arial" w:cs="Arial"/>
                <w:sz w:val="20"/>
                <w:szCs w:val="20"/>
              </w:rPr>
              <w:t xml:space="preserve">Generally, NRT supplies should be </w:t>
            </w:r>
            <w:r w:rsidR="00661C70">
              <w:rPr>
                <w:rStyle w:val="cf01"/>
                <w:rFonts w:ascii="Arial" w:hAnsi="Arial" w:cs="Arial"/>
                <w:sz w:val="20"/>
                <w:szCs w:val="20"/>
              </w:rPr>
              <w:t>a maximum of</w:t>
            </w:r>
            <w:r w:rsidRPr="005C27B0">
              <w:rPr>
                <w:rStyle w:val="cf01"/>
                <w:rFonts w:ascii="Arial" w:hAnsi="Arial" w:cs="Arial"/>
                <w:sz w:val="20"/>
                <w:szCs w:val="20"/>
              </w:rPr>
              <w:t xml:space="preserve"> 2 weeks. During the 12-week treatment period, NRT supplies may only be given for 4 weeks to a client on some occasions, e.g., it could be offered if the client is going away on holiday or to fit in with shift patterns. This would be at the discretion of the advisor.</w:t>
            </w:r>
          </w:p>
          <w:p w14:paraId="7E4EF679" w14:textId="77777777" w:rsidR="0023762E" w:rsidRPr="00FA34B0" w:rsidRDefault="0023762E" w:rsidP="00F71787">
            <w:pPr>
              <w:pStyle w:val="ListParagraph"/>
              <w:numPr>
                <w:ilvl w:val="0"/>
                <w:numId w:val="9"/>
              </w:numPr>
              <w:suppressAutoHyphens w:val="0"/>
              <w:rPr>
                <w:rFonts w:cs="Arial"/>
                <w:sz w:val="20"/>
                <w:lang w:eastAsia="en-GB"/>
              </w:rPr>
            </w:pPr>
            <w:r w:rsidRPr="005C27B0">
              <w:rPr>
                <w:rFonts w:cs="Arial"/>
                <w:sz w:val="20"/>
                <w:lang w:eastAsia="en-GB"/>
              </w:rPr>
              <w:t>Follow up consultations should include a smoking status validation using a CO test and be used as an opportunity for additional counselling</w:t>
            </w:r>
            <w:r w:rsidRPr="00FA34B0">
              <w:rPr>
                <w:rFonts w:cs="Arial"/>
                <w:sz w:val="20"/>
                <w:lang w:eastAsia="en-GB"/>
              </w:rPr>
              <w:t xml:space="preserve"> and support.  </w:t>
            </w:r>
          </w:p>
          <w:p w14:paraId="365272AC"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 xml:space="preserve">Clients who continue to give high CO readings (over 5ppm) for more than two weeks should not be issued with further products and should be referred to the Halton Stop Smoking service. </w:t>
            </w:r>
          </w:p>
          <w:p w14:paraId="14060DEC"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Clients who do not attend follow up consultations should be contacted by telephone to determine if they wish to continue with the service and to ascertain and record self-reported smoking status. A minimum of three attempts should be made to contact any patients that do not attend follow up consultations.</w:t>
            </w:r>
          </w:p>
          <w:p w14:paraId="4750DD9E" w14:textId="77777777" w:rsidR="0023762E" w:rsidRPr="00FA34B0" w:rsidRDefault="0023762E" w:rsidP="00F71787">
            <w:pPr>
              <w:numPr>
                <w:ilvl w:val="0"/>
                <w:numId w:val="9"/>
              </w:numPr>
              <w:rPr>
                <w:rFonts w:cs="Arial"/>
                <w:sz w:val="20"/>
                <w:lang w:eastAsia="en-GB"/>
              </w:rPr>
            </w:pPr>
            <w:r w:rsidRPr="00FA34B0">
              <w:rPr>
                <w:rFonts w:cs="Arial"/>
                <w:sz w:val="20"/>
                <w:lang w:eastAsia="en-GB"/>
              </w:rPr>
              <w:t>The service provider must be able to provide a sufficient level of privacy and safety for the provision of this service.</w:t>
            </w:r>
          </w:p>
          <w:p w14:paraId="0452C9CC" w14:textId="77777777" w:rsidR="0023762E" w:rsidRPr="00FA34B0" w:rsidRDefault="0023762E" w:rsidP="00F71787">
            <w:pPr>
              <w:numPr>
                <w:ilvl w:val="0"/>
                <w:numId w:val="9"/>
              </w:numPr>
              <w:rPr>
                <w:rFonts w:cs="Arial"/>
                <w:sz w:val="20"/>
                <w:lang w:eastAsia="en-GB"/>
              </w:rPr>
            </w:pPr>
            <w:r w:rsidRPr="00FA34B0">
              <w:rPr>
                <w:rFonts w:cs="Arial"/>
                <w:sz w:val="20"/>
                <w:lang w:eastAsia="en-GB"/>
              </w:rPr>
              <w:t>The service provider has a duty to ensure that the pharmacists and staff involved in the provision of this service have the relevant knowledge and skills and are appropriately trained in the provision of this service.</w:t>
            </w:r>
          </w:p>
          <w:p w14:paraId="771450F3" w14:textId="77777777" w:rsidR="0023762E" w:rsidRPr="00FA34B0" w:rsidRDefault="0023762E" w:rsidP="00F71787">
            <w:pPr>
              <w:numPr>
                <w:ilvl w:val="0"/>
                <w:numId w:val="9"/>
              </w:numPr>
              <w:rPr>
                <w:rFonts w:cs="Arial"/>
                <w:sz w:val="20"/>
                <w:lang w:eastAsia="en-GB"/>
              </w:rPr>
            </w:pPr>
            <w:r w:rsidRPr="00FA34B0">
              <w:rPr>
                <w:rFonts w:cs="Arial"/>
                <w:sz w:val="20"/>
                <w:lang w:eastAsia="en-GB"/>
              </w:rPr>
              <w:t>The service provider has a duty to ensure that pharmacists and staff involved in the provision of this service are aware of and act in accordance with local protocols and national guidance.</w:t>
            </w:r>
          </w:p>
          <w:p w14:paraId="6172832B" w14:textId="77777777" w:rsidR="0023762E" w:rsidRPr="00FA34B0" w:rsidRDefault="0023762E" w:rsidP="00F71787">
            <w:pPr>
              <w:numPr>
                <w:ilvl w:val="0"/>
                <w:numId w:val="9"/>
              </w:numPr>
              <w:rPr>
                <w:rFonts w:cs="Arial"/>
                <w:sz w:val="20"/>
                <w:lang w:eastAsia="en-GB"/>
              </w:rPr>
            </w:pPr>
            <w:r w:rsidRPr="00FA34B0">
              <w:rPr>
                <w:rFonts w:cs="Arial"/>
                <w:sz w:val="20"/>
                <w:lang w:eastAsia="en-GB"/>
              </w:rPr>
              <w:t>The service provider must inform the Stop Smoking Service of any changes to staff involved in the provision of the service so that any new staff can be appropriately trained.</w:t>
            </w:r>
          </w:p>
          <w:p w14:paraId="011F036F" w14:textId="0CB71B30"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 xml:space="preserve">The </w:t>
            </w:r>
            <w:r w:rsidR="003512ED">
              <w:rPr>
                <w:rFonts w:cs="Arial"/>
                <w:sz w:val="20"/>
                <w:lang w:eastAsia="en-GB"/>
              </w:rPr>
              <w:t>smoking advisor</w:t>
            </w:r>
            <w:r w:rsidRPr="00FA34B0">
              <w:rPr>
                <w:rFonts w:cs="Arial"/>
                <w:sz w:val="20"/>
                <w:lang w:eastAsia="en-GB"/>
              </w:rPr>
              <w:t xml:space="preserve"> should confirm the eligibility of the person to access the service in accordance with the protocol.  A person cannot register for the pharmacy based service if they are already registered with the Halton Stop Smoking Service.</w:t>
            </w:r>
          </w:p>
          <w:p w14:paraId="1DD361A3" w14:textId="2FB009AE" w:rsidR="0023762E" w:rsidRPr="00FA34B0" w:rsidRDefault="00580FE6" w:rsidP="00F71787">
            <w:pPr>
              <w:pStyle w:val="ListParagraph"/>
              <w:numPr>
                <w:ilvl w:val="0"/>
                <w:numId w:val="9"/>
              </w:numPr>
              <w:suppressAutoHyphens w:val="0"/>
              <w:rPr>
                <w:rFonts w:cs="Arial"/>
                <w:sz w:val="20"/>
                <w:lang w:eastAsia="en-GB"/>
              </w:rPr>
            </w:pPr>
            <w:r w:rsidRPr="00FA34B0">
              <w:rPr>
                <w:rFonts w:cs="Arial"/>
                <w:sz w:val="20"/>
                <w:lang w:eastAsia="en-GB"/>
              </w:rPr>
              <w:t xml:space="preserve">The </w:t>
            </w:r>
            <w:r>
              <w:rPr>
                <w:rFonts w:cs="Arial"/>
                <w:sz w:val="20"/>
                <w:lang w:eastAsia="en-GB"/>
              </w:rPr>
              <w:t>smoking advisor</w:t>
            </w:r>
            <w:r w:rsidRPr="00FA34B0">
              <w:rPr>
                <w:rFonts w:cs="Arial"/>
                <w:sz w:val="20"/>
                <w:lang w:eastAsia="en-GB"/>
              </w:rPr>
              <w:t xml:space="preserve"> </w:t>
            </w:r>
            <w:r w:rsidR="0023762E" w:rsidRPr="00FA34B0">
              <w:rPr>
                <w:rFonts w:cs="Arial"/>
                <w:sz w:val="20"/>
                <w:lang w:eastAsia="en-GB"/>
              </w:rPr>
              <w:t>should identify treatment options that have proven effectiveness and maximise commitment to the target quit date ensuring the client understands the ongoing support and monitoring arrangements and is provided with appropriate information and advice.</w:t>
            </w:r>
          </w:p>
          <w:p w14:paraId="5155796A"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 xml:space="preserve">The service provider should maintain appropriate records to ensure effective ongoing service delivery and audit.  </w:t>
            </w:r>
          </w:p>
          <w:p w14:paraId="571FBC9F"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Stop Smoking products provided as a result of this service must be supplied in accordance with the Stop Smoking Protocol and relevant specification.</w:t>
            </w:r>
          </w:p>
          <w:p w14:paraId="77941180"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 xml:space="preserve">A further supply of treatment can be made at follow up consultations within the timescales indicated within the protocol. </w:t>
            </w:r>
          </w:p>
          <w:p w14:paraId="551A3C29" w14:textId="127899EA" w:rsidR="0023762E" w:rsidRPr="00F13883" w:rsidRDefault="0023762E" w:rsidP="00F71787">
            <w:pPr>
              <w:pStyle w:val="ListParagraph"/>
              <w:numPr>
                <w:ilvl w:val="0"/>
                <w:numId w:val="9"/>
              </w:numPr>
              <w:suppressAutoHyphens w:val="0"/>
              <w:rPr>
                <w:rFonts w:cs="Arial"/>
                <w:sz w:val="20"/>
                <w:lang w:eastAsia="en-GB"/>
              </w:rPr>
            </w:pPr>
            <w:r w:rsidRPr="00F13883">
              <w:rPr>
                <w:rFonts w:cs="Arial"/>
                <w:sz w:val="20"/>
                <w:lang w:eastAsia="en-GB"/>
              </w:rPr>
              <w:t xml:space="preserve">The service provider is responsible for recording the four week follow up for each client. The Halton Stop Smoking service will assist with the record management of these clients using the intermediate service by recording details on the Stop Smoking database.  The pharmacy should include the client’s smoking status, wherever possible, </w:t>
            </w:r>
            <w:r w:rsidR="005235F6" w:rsidRPr="00F13883">
              <w:rPr>
                <w:rFonts w:cs="Arial"/>
                <w:sz w:val="20"/>
                <w:lang w:eastAsia="en-GB"/>
              </w:rPr>
              <w:t>self-reported</w:t>
            </w:r>
            <w:r w:rsidRPr="00F13883">
              <w:rPr>
                <w:rFonts w:cs="Arial"/>
                <w:sz w:val="20"/>
                <w:lang w:eastAsia="en-GB"/>
              </w:rPr>
              <w:t xml:space="preserve"> quits should be confirmed by a carbon monoxide reading.   A successful quitter is as defined by the Department of Health Stop Smoking Guidelines.</w:t>
            </w:r>
            <w:r w:rsidR="00380B0E" w:rsidRPr="00F13883">
              <w:rPr>
                <w:rFonts w:cs="Arial"/>
                <w:color w:val="FF0000"/>
                <w:sz w:val="20"/>
                <w:lang w:eastAsia="en-GB"/>
              </w:rPr>
              <w:t xml:space="preserve"> </w:t>
            </w:r>
          </w:p>
          <w:p w14:paraId="6A82D406" w14:textId="77777777" w:rsidR="0023762E" w:rsidRPr="001359FC" w:rsidRDefault="0023762E" w:rsidP="00F71787">
            <w:pPr>
              <w:pStyle w:val="ListParagraph"/>
              <w:numPr>
                <w:ilvl w:val="0"/>
                <w:numId w:val="9"/>
              </w:numPr>
              <w:suppressAutoHyphens w:val="0"/>
              <w:rPr>
                <w:rFonts w:cs="Arial"/>
                <w:sz w:val="20"/>
                <w:lang w:eastAsia="en-GB"/>
              </w:rPr>
            </w:pPr>
            <w:r w:rsidRPr="001359FC">
              <w:rPr>
                <w:rFonts w:cs="Arial"/>
                <w:sz w:val="20"/>
                <w:lang w:eastAsia="en-GB"/>
              </w:rPr>
              <w:t>Monitoring status must be fully completed to include the four week follow-up before being returned to Halton Borough Council for payment.  These figures will then be included in the monitoring returns sent to the Department of Health each quarter.</w:t>
            </w:r>
          </w:p>
          <w:p w14:paraId="380CCFEF"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 xml:space="preserve">It is the service provider’s responsibility to ensure that claim are submitted in a timely fashion.  It is particularly important that all claims relating to activity within a particular year are submitted no later than one month after the end of that year since funding levels for subsequent years cannot be guaranteed.  The Council has the right to refuse payment in the event of late claims.  </w:t>
            </w:r>
          </w:p>
          <w:p w14:paraId="5E91D0ED"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If a payment is declined the service provider may appeal in writing to the Council giving full details of the exceptional circumstances under which a claim was not able to be submitted within the given timescale.</w:t>
            </w:r>
          </w:p>
          <w:p w14:paraId="1B08EA6B" w14:textId="77777777" w:rsidR="0023762E" w:rsidRPr="00FA34B0" w:rsidRDefault="0023762E" w:rsidP="00F71787">
            <w:pPr>
              <w:pStyle w:val="ListParagraph"/>
              <w:numPr>
                <w:ilvl w:val="0"/>
                <w:numId w:val="9"/>
              </w:numPr>
              <w:suppressAutoHyphens w:val="0"/>
              <w:rPr>
                <w:rFonts w:cs="Arial"/>
                <w:sz w:val="20"/>
                <w:lang w:eastAsia="en-GB"/>
              </w:rPr>
            </w:pPr>
            <w:r w:rsidRPr="00FA34B0">
              <w:rPr>
                <w:rFonts w:cs="Arial"/>
                <w:sz w:val="20"/>
                <w:lang w:eastAsia="en-GB"/>
              </w:rPr>
              <w:t>The Council will acknowledge receipt of an appeal in writing within 14 days of receipt and notify the service provider of their decision no later than six weeks after the appeal was received.</w:t>
            </w:r>
          </w:p>
          <w:p w14:paraId="769ADA84" w14:textId="77777777" w:rsidR="005235F6" w:rsidRPr="00FA34B0" w:rsidRDefault="005235F6">
            <w:pPr>
              <w:rPr>
                <w:rFonts w:cs="Arial"/>
                <w:sz w:val="20"/>
              </w:rPr>
            </w:pPr>
          </w:p>
        </w:tc>
      </w:tr>
      <w:tr w:rsidR="001E2E94" w:rsidRPr="00FA34B0" w14:paraId="55C5B408" w14:textId="77777777" w:rsidTr="006969ED">
        <w:tc>
          <w:tcPr>
            <w:tcW w:w="9016" w:type="dxa"/>
            <w:shd w:val="clear" w:color="auto" w:fill="BFBFBF" w:themeFill="background1" w:themeFillShade="BF"/>
          </w:tcPr>
          <w:p w14:paraId="5A179541" w14:textId="3D46174A" w:rsidR="001E2E94" w:rsidRPr="00E822F7" w:rsidRDefault="007B6876">
            <w:pPr>
              <w:rPr>
                <w:rFonts w:cs="Arial"/>
                <w:b/>
                <w:bCs/>
                <w:sz w:val="20"/>
              </w:rPr>
            </w:pPr>
            <w:r w:rsidRPr="00E822F7">
              <w:rPr>
                <w:rFonts w:cs="Arial"/>
                <w:b/>
                <w:bCs/>
                <w:sz w:val="20"/>
              </w:rPr>
              <w:lastRenderedPageBreak/>
              <w:t>6. Obligations</w:t>
            </w:r>
          </w:p>
        </w:tc>
      </w:tr>
      <w:tr w:rsidR="001E2E94" w:rsidRPr="00FA34B0" w14:paraId="35976E30" w14:textId="77777777" w:rsidTr="001E2E94">
        <w:tc>
          <w:tcPr>
            <w:tcW w:w="9016" w:type="dxa"/>
          </w:tcPr>
          <w:p w14:paraId="23037D71" w14:textId="74E0078A" w:rsidR="001E2E94" w:rsidRDefault="007B6876">
            <w:pPr>
              <w:rPr>
                <w:rFonts w:cs="Arial"/>
                <w:b/>
                <w:bCs/>
                <w:sz w:val="20"/>
              </w:rPr>
            </w:pPr>
            <w:r w:rsidRPr="00E822F7">
              <w:rPr>
                <w:rFonts w:cs="Arial"/>
                <w:b/>
                <w:bCs/>
                <w:sz w:val="20"/>
              </w:rPr>
              <w:t xml:space="preserve">6.1 </w:t>
            </w:r>
            <w:r w:rsidR="00D04498" w:rsidRPr="00E822F7">
              <w:rPr>
                <w:rFonts w:cs="Arial"/>
                <w:b/>
                <w:bCs/>
                <w:sz w:val="20"/>
              </w:rPr>
              <w:t>Responsibilities of the service provider</w:t>
            </w:r>
          </w:p>
          <w:p w14:paraId="75FD4B72" w14:textId="6EDCFB3C" w:rsidR="006C3F6B" w:rsidRPr="004128F3" w:rsidRDefault="006C3F6B" w:rsidP="006C3F6B">
            <w:pPr>
              <w:pStyle w:val="ListParagraph"/>
              <w:numPr>
                <w:ilvl w:val="0"/>
                <w:numId w:val="16"/>
              </w:numPr>
              <w:rPr>
                <w:rFonts w:cs="Arial"/>
                <w:b/>
                <w:bCs/>
                <w:sz w:val="20"/>
              </w:rPr>
            </w:pPr>
            <w:r w:rsidRPr="004128F3">
              <w:rPr>
                <w:rFonts w:cs="Arial"/>
                <w:sz w:val="20"/>
              </w:rPr>
              <w:lastRenderedPageBreak/>
              <w:t xml:space="preserve">The service provider must ensure that supporting equipment such as carbon monoxide monitors are recalibrated </w:t>
            </w:r>
            <w:r w:rsidR="004128F3" w:rsidRPr="004128F3">
              <w:rPr>
                <w:rFonts w:cs="Arial"/>
                <w:sz w:val="20"/>
              </w:rPr>
              <w:t>between 12 and 24 months.</w:t>
            </w:r>
          </w:p>
          <w:p w14:paraId="52922332" w14:textId="77777777" w:rsidR="00E277CD" w:rsidRPr="00E822F7" w:rsidRDefault="00E277CD" w:rsidP="00E277CD">
            <w:pPr>
              <w:pStyle w:val="ListParagraph"/>
              <w:widowControl w:val="0"/>
              <w:numPr>
                <w:ilvl w:val="0"/>
                <w:numId w:val="10"/>
              </w:numPr>
              <w:tabs>
                <w:tab w:val="left" w:pos="204"/>
                <w:tab w:val="left" w:pos="5040"/>
              </w:tabs>
              <w:suppressAutoHyphens w:val="0"/>
              <w:rPr>
                <w:rFonts w:cs="Arial"/>
                <w:sz w:val="20"/>
              </w:rPr>
            </w:pPr>
            <w:r w:rsidRPr="00E822F7">
              <w:rPr>
                <w:rFonts w:cs="Arial"/>
                <w:sz w:val="20"/>
              </w:rPr>
              <w:t xml:space="preserve">The service provider must issue and dispense products in accordance with timescales described in the protocol and in accordance with relevant specifications. </w:t>
            </w:r>
          </w:p>
          <w:p w14:paraId="4F17C860" w14:textId="4AF5F7AE" w:rsidR="00E277CD" w:rsidRPr="00E822F7" w:rsidRDefault="00E277CD" w:rsidP="00E277CD">
            <w:pPr>
              <w:pStyle w:val="ListParagraph"/>
              <w:widowControl w:val="0"/>
              <w:numPr>
                <w:ilvl w:val="0"/>
                <w:numId w:val="10"/>
              </w:numPr>
              <w:tabs>
                <w:tab w:val="left" w:pos="204"/>
                <w:tab w:val="left" w:pos="5040"/>
              </w:tabs>
              <w:suppressAutoHyphens w:val="0"/>
              <w:rPr>
                <w:rFonts w:cs="Arial"/>
                <w:sz w:val="20"/>
              </w:rPr>
            </w:pPr>
            <w:r w:rsidRPr="00E822F7">
              <w:rPr>
                <w:rFonts w:cs="Arial"/>
                <w:sz w:val="20"/>
              </w:rPr>
              <w:t>Pharmacy staff responsible for the service must participate in on-going training</w:t>
            </w:r>
            <w:r w:rsidR="0024692E" w:rsidRPr="00E822F7">
              <w:rPr>
                <w:rFonts w:cs="Arial"/>
                <w:sz w:val="20"/>
              </w:rPr>
              <w:t xml:space="preserve"> (as outline</w:t>
            </w:r>
            <w:r w:rsidR="004F23E6" w:rsidRPr="00E822F7">
              <w:rPr>
                <w:rFonts w:cs="Arial"/>
                <w:sz w:val="20"/>
              </w:rPr>
              <w:t>d in section 7</w:t>
            </w:r>
            <w:r w:rsidR="00950332" w:rsidRPr="00E822F7">
              <w:rPr>
                <w:rFonts w:cs="Arial"/>
                <w:sz w:val="20"/>
              </w:rPr>
              <w:t>. Training and Competency)</w:t>
            </w:r>
            <w:r w:rsidRPr="00E822F7">
              <w:rPr>
                <w:rFonts w:cs="Arial"/>
                <w:sz w:val="20"/>
              </w:rPr>
              <w:t xml:space="preserve">. </w:t>
            </w:r>
            <w:r w:rsidR="000F52BE" w:rsidRPr="00E822F7">
              <w:rPr>
                <w:rFonts w:cs="Arial"/>
                <w:color w:val="FF0000"/>
                <w:sz w:val="20"/>
              </w:rPr>
              <w:t xml:space="preserve"> </w:t>
            </w:r>
          </w:p>
          <w:p w14:paraId="5E6EEC5B" w14:textId="77777777" w:rsidR="00E277CD" w:rsidRPr="000249F6" w:rsidRDefault="00E277CD" w:rsidP="00E277CD">
            <w:pPr>
              <w:pStyle w:val="ListParagraph"/>
              <w:widowControl w:val="0"/>
              <w:numPr>
                <w:ilvl w:val="0"/>
                <w:numId w:val="10"/>
              </w:numPr>
              <w:tabs>
                <w:tab w:val="left" w:pos="204"/>
                <w:tab w:val="left" w:pos="5040"/>
              </w:tabs>
              <w:suppressAutoHyphens w:val="0"/>
              <w:rPr>
                <w:rFonts w:cs="Arial"/>
                <w:sz w:val="20"/>
              </w:rPr>
            </w:pPr>
            <w:r w:rsidRPr="00E822F7">
              <w:rPr>
                <w:rFonts w:cs="Arial"/>
                <w:sz w:val="20"/>
              </w:rPr>
              <w:t xml:space="preserve">The service provider will have appropriate Stop Smoking information available for clients and promote and encourage uptake of the service.  This will be provided by the Halton Stop Smoking </w:t>
            </w:r>
            <w:r w:rsidRPr="000249F6">
              <w:rPr>
                <w:rFonts w:cs="Arial"/>
                <w:sz w:val="20"/>
              </w:rPr>
              <w:t>Service.</w:t>
            </w:r>
          </w:p>
          <w:p w14:paraId="606E44F6" w14:textId="03D0992E" w:rsidR="00E277CD" w:rsidRPr="00E822F7" w:rsidRDefault="00E277CD" w:rsidP="00E277CD">
            <w:pPr>
              <w:pStyle w:val="ListParagraph"/>
              <w:widowControl w:val="0"/>
              <w:numPr>
                <w:ilvl w:val="0"/>
                <w:numId w:val="10"/>
              </w:numPr>
              <w:tabs>
                <w:tab w:val="left" w:pos="204"/>
                <w:tab w:val="left" w:pos="5040"/>
              </w:tabs>
              <w:suppressAutoHyphens w:val="0"/>
              <w:jc w:val="left"/>
              <w:rPr>
                <w:rFonts w:cs="Arial"/>
                <w:sz w:val="20"/>
              </w:rPr>
            </w:pPr>
            <w:r w:rsidRPr="00E822F7">
              <w:rPr>
                <w:rFonts w:cs="Arial"/>
                <w:sz w:val="20"/>
              </w:rPr>
              <w:t xml:space="preserve">The service provider will review its standard operating procedures (SOPs) and referral pathways for the service </w:t>
            </w:r>
            <w:r w:rsidR="000249F6">
              <w:rPr>
                <w:rFonts w:cs="Arial"/>
                <w:sz w:val="20"/>
              </w:rPr>
              <w:t>e</w:t>
            </w:r>
            <w:r w:rsidR="000249F6" w:rsidRPr="000249F6">
              <w:rPr>
                <w:rFonts w:cs="Arial"/>
                <w:sz w:val="20"/>
              </w:rPr>
              <w:t>very two years.</w:t>
            </w:r>
            <w:r w:rsidRPr="00E822F7">
              <w:rPr>
                <w:rFonts w:cs="Arial"/>
                <w:sz w:val="20"/>
              </w:rPr>
              <w:t xml:space="preserve"> </w:t>
            </w:r>
          </w:p>
          <w:p w14:paraId="01586C69" w14:textId="6CF39B31" w:rsidR="00E277CD" w:rsidRPr="00E822F7" w:rsidRDefault="00E277CD" w:rsidP="00E277CD">
            <w:pPr>
              <w:pStyle w:val="ListParagraph"/>
              <w:widowControl w:val="0"/>
              <w:numPr>
                <w:ilvl w:val="0"/>
                <w:numId w:val="10"/>
              </w:numPr>
              <w:tabs>
                <w:tab w:val="left" w:pos="204"/>
                <w:tab w:val="left" w:pos="5040"/>
              </w:tabs>
              <w:suppressAutoHyphens w:val="0"/>
              <w:rPr>
                <w:rFonts w:cs="Arial"/>
                <w:sz w:val="20"/>
              </w:rPr>
            </w:pPr>
            <w:r w:rsidRPr="00E822F7">
              <w:rPr>
                <w:rFonts w:cs="Arial"/>
                <w:sz w:val="20"/>
              </w:rPr>
              <w:t xml:space="preserve">It is the responsibility of the service provider to ensure that staff providing this service are appropriately trained to deliver the service and have satisfactorily completed </w:t>
            </w:r>
            <w:r w:rsidR="00BB2F34" w:rsidRPr="00E822F7">
              <w:rPr>
                <w:rFonts w:cs="Arial"/>
                <w:sz w:val="20"/>
              </w:rPr>
              <w:t>National Centre for Smoking Cessation and Training</w:t>
            </w:r>
            <w:r w:rsidR="00BC5E60" w:rsidRPr="00E822F7">
              <w:rPr>
                <w:rFonts w:cs="Arial"/>
                <w:sz w:val="20"/>
              </w:rPr>
              <w:t xml:space="preserve"> </w:t>
            </w:r>
            <w:r w:rsidR="00CD48E6" w:rsidRPr="00E822F7">
              <w:rPr>
                <w:rFonts w:cs="Arial"/>
                <w:sz w:val="20"/>
              </w:rPr>
              <w:t>(NCSCT).</w:t>
            </w:r>
          </w:p>
          <w:p w14:paraId="38439FDB" w14:textId="77777777" w:rsidR="00E277CD" w:rsidRPr="00E822F7" w:rsidRDefault="00E277CD" w:rsidP="00E277CD">
            <w:pPr>
              <w:pStyle w:val="ListParagraph"/>
              <w:widowControl w:val="0"/>
              <w:numPr>
                <w:ilvl w:val="0"/>
                <w:numId w:val="10"/>
              </w:numPr>
              <w:tabs>
                <w:tab w:val="left" w:pos="204"/>
                <w:tab w:val="left" w:pos="5040"/>
              </w:tabs>
              <w:suppressAutoHyphens w:val="0"/>
              <w:rPr>
                <w:rFonts w:cs="Arial"/>
                <w:sz w:val="20"/>
              </w:rPr>
            </w:pPr>
            <w:r w:rsidRPr="00E822F7">
              <w:rPr>
                <w:rFonts w:cs="Arial"/>
                <w:sz w:val="20"/>
              </w:rPr>
              <w:t xml:space="preserve">The service provider will co-operate with any locally agreed audits and assessments of service user experience. </w:t>
            </w:r>
          </w:p>
          <w:p w14:paraId="155878BE" w14:textId="77777777" w:rsidR="00E277CD" w:rsidRPr="00E822F7" w:rsidRDefault="00E277CD" w:rsidP="00E277CD">
            <w:pPr>
              <w:pStyle w:val="ListParagraph"/>
              <w:widowControl w:val="0"/>
              <w:numPr>
                <w:ilvl w:val="0"/>
                <w:numId w:val="10"/>
              </w:numPr>
              <w:tabs>
                <w:tab w:val="left" w:pos="204"/>
                <w:tab w:val="left" w:pos="5040"/>
              </w:tabs>
              <w:suppressAutoHyphens w:val="0"/>
              <w:rPr>
                <w:rFonts w:cs="Arial"/>
                <w:sz w:val="20"/>
              </w:rPr>
            </w:pPr>
            <w:r w:rsidRPr="00E822F7">
              <w:rPr>
                <w:rFonts w:cs="Arial"/>
                <w:sz w:val="20"/>
              </w:rPr>
              <w:t>The service provider must not re-direct a client already registered with the Halton Stop Smoking Service to the intermediate service the pharmacy provides.  This is to ensure that the client’s details are not duplicated in the audit system.</w:t>
            </w:r>
          </w:p>
          <w:p w14:paraId="0B026321" w14:textId="77777777" w:rsidR="00E277CD" w:rsidRPr="00E822F7" w:rsidRDefault="00E277CD">
            <w:pPr>
              <w:rPr>
                <w:rFonts w:cs="Arial"/>
                <w:sz w:val="20"/>
              </w:rPr>
            </w:pPr>
          </w:p>
          <w:p w14:paraId="4AA27BE4" w14:textId="2C10C2D3" w:rsidR="007B6876" w:rsidRPr="00E822F7" w:rsidRDefault="007B6876">
            <w:pPr>
              <w:rPr>
                <w:rFonts w:cs="Arial"/>
                <w:b/>
                <w:bCs/>
                <w:sz w:val="20"/>
              </w:rPr>
            </w:pPr>
            <w:r w:rsidRPr="00E822F7">
              <w:rPr>
                <w:rFonts w:cs="Arial"/>
                <w:b/>
                <w:bCs/>
                <w:sz w:val="20"/>
              </w:rPr>
              <w:t>6.1.1 Professional responsibility</w:t>
            </w:r>
          </w:p>
          <w:p w14:paraId="02E0C5B9" w14:textId="1DA45C4B" w:rsidR="00116CB7" w:rsidRPr="00E822F7" w:rsidRDefault="00116CB7" w:rsidP="00116CB7">
            <w:pPr>
              <w:contextualSpacing/>
              <w:rPr>
                <w:rFonts w:cs="Arial"/>
                <w:sz w:val="20"/>
              </w:rPr>
            </w:pPr>
            <w:r w:rsidRPr="00E822F7">
              <w:rPr>
                <w:rFonts w:cs="Arial"/>
                <w:sz w:val="20"/>
              </w:rPr>
              <w:t>Service specifications</w:t>
            </w:r>
            <w:r w:rsidR="003A2CC8" w:rsidRPr="00E822F7">
              <w:rPr>
                <w:rFonts w:cs="Arial"/>
                <w:sz w:val="20"/>
              </w:rPr>
              <w:t xml:space="preserve"> </w:t>
            </w:r>
            <w:r w:rsidRPr="00E822F7">
              <w:rPr>
                <w:rFonts w:cs="Arial"/>
                <w:sz w:val="20"/>
              </w:rPr>
              <w:t>do not remove inherent professional obligations or accountability. All pharmacists and registered technicians involved in providing this service must adhere to their professional code of conduct and at no point does this service abrogate their professional responsibility, professional judgement must be used at all times.</w:t>
            </w:r>
          </w:p>
          <w:p w14:paraId="040E0E9F" w14:textId="77777777" w:rsidR="00116CB7" w:rsidRPr="00E822F7" w:rsidRDefault="00116CB7" w:rsidP="00116CB7">
            <w:pPr>
              <w:contextualSpacing/>
              <w:rPr>
                <w:rFonts w:cs="Arial"/>
                <w:sz w:val="20"/>
              </w:rPr>
            </w:pPr>
          </w:p>
          <w:p w14:paraId="2A539706" w14:textId="77777777" w:rsidR="00116CB7" w:rsidRPr="00E822F7" w:rsidRDefault="00116CB7" w:rsidP="00116CB7">
            <w:pPr>
              <w:contextualSpacing/>
              <w:rPr>
                <w:rFonts w:cs="Arial"/>
                <w:sz w:val="20"/>
              </w:rPr>
            </w:pPr>
            <w:r w:rsidRPr="00E822F7">
              <w:rPr>
                <w:rFonts w:cs="Arial"/>
                <w:sz w:val="20"/>
              </w:rPr>
              <w:t>It is the professional’s responsibility to practice only within the bounds of their own competence.</w:t>
            </w:r>
          </w:p>
          <w:p w14:paraId="63D5808F" w14:textId="77777777" w:rsidR="00116CB7" w:rsidRPr="00E822F7" w:rsidRDefault="00116CB7" w:rsidP="00116CB7">
            <w:pPr>
              <w:contextualSpacing/>
              <w:rPr>
                <w:rFonts w:cs="Arial"/>
                <w:sz w:val="20"/>
              </w:rPr>
            </w:pPr>
          </w:p>
          <w:p w14:paraId="10B1D22B" w14:textId="77777777" w:rsidR="00116CB7" w:rsidRPr="00E822F7" w:rsidRDefault="00116CB7" w:rsidP="00116CB7">
            <w:pPr>
              <w:rPr>
                <w:rFonts w:cs="Arial"/>
                <w:sz w:val="20"/>
              </w:rPr>
            </w:pPr>
            <w:r w:rsidRPr="00E822F7">
              <w:rPr>
                <w:rFonts w:cs="Arial"/>
                <w:sz w:val="20"/>
              </w:rPr>
              <w:t xml:space="preserve">The responsible pharmacist on each given day has overall responsibility for ensuring the service is delivered in accordance with this service specification. </w:t>
            </w:r>
          </w:p>
          <w:p w14:paraId="18154410" w14:textId="77777777" w:rsidR="00116CB7" w:rsidRPr="00E822F7" w:rsidRDefault="00116CB7">
            <w:pPr>
              <w:rPr>
                <w:rFonts w:cs="Arial"/>
                <w:sz w:val="20"/>
              </w:rPr>
            </w:pPr>
          </w:p>
          <w:p w14:paraId="54099CF1" w14:textId="65F974F1" w:rsidR="007B6876" w:rsidRPr="00E822F7" w:rsidRDefault="007B6876">
            <w:pPr>
              <w:rPr>
                <w:rFonts w:cs="Arial"/>
                <w:b/>
                <w:bCs/>
                <w:sz w:val="20"/>
              </w:rPr>
            </w:pPr>
            <w:r w:rsidRPr="00E822F7">
              <w:rPr>
                <w:rFonts w:cs="Arial"/>
                <w:b/>
                <w:bCs/>
                <w:sz w:val="20"/>
              </w:rPr>
              <w:t>6.1.2 Standard Operating Procedures</w:t>
            </w:r>
          </w:p>
          <w:p w14:paraId="0F652902" w14:textId="77777777" w:rsidR="00A56D08" w:rsidRPr="00E822F7" w:rsidRDefault="00A56D08" w:rsidP="00A56D08">
            <w:pPr>
              <w:rPr>
                <w:rFonts w:cs="Arial"/>
                <w:sz w:val="20"/>
              </w:rPr>
            </w:pPr>
            <w:r w:rsidRPr="00E822F7">
              <w:rPr>
                <w:rFonts w:cs="Arial"/>
                <w:sz w:val="20"/>
              </w:rPr>
              <w:t>The service provider will develop a Standard Operating Procedure (SOP) which specifically details the operational delivery of this service.</w:t>
            </w:r>
          </w:p>
          <w:p w14:paraId="36E2ED4C" w14:textId="77777777" w:rsidR="00A56D08" w:rsidRPr="00E822F7" w:rsidRDefault="00A56D08" w:rsidP="00A56D08">
            <w:pPr>
              <w:rPr>
                <w:rFonts w:cs="Arial"/>
                <w:sz w:val="20"/>
              </w:rPr>
            </w:pPr>
          </w:p>
          <w:p w14:paraId="3AB63F99" w14:textId="77777777" w:rsidR="00A56D08" w:rsidRPr="00E822F7" w:rsidRDefault="00A56D08" w:rsidP="00A56D08">
            <w:pPr>
              <w:rPr>
                <w:rFonts w:cs="Arial"/>
                <w:sz w:val="20"/>
              </w:rPr>
            </w:pPr>
            <w:r w:rsidRPr="00E822F7">
              <w:rPr>
                <w:rFonts w:cs="Arial"/>
                <w:sz w:val="20"/>
              </w:rPr>
              <w:t>The service provider must ensure that all staff including those other than pharmacists, involved in the provision of the service, have relevant knowledge, are appropriately trained and operate within the SOP; this includes sensitive client centred communication skills.</w:t>
            </w:r>
          </w:p>
          <w:p w14:paraId="7CB292E4" w14:textId="77777777" w:rsidR="00A56D08" w:rsidRPr="00E822F7" w:rsidRDefault="00A56D08" w:rsidP="00A56D08">
            <w:pPr>
              <w:rPr>
                <w:rFonts w:cs="Arial"/>
                <w:sz w:val="20"/>
              </w:rPr>
            </w:pPr>
          </w:p>
          <w:p w14:paraId="69BA2B83" w14:textId="43A69853" w:rsidR="00A56D08" w:rsidRDefault="00A56D08" w:rsidP="00A56D08">
            <w:pPr>
              <w:rPr>
                <w:rFonts w:cs="Arial"/>
                <w:color w:val="70AD47" w:themeColor="accent6"/>
                <w:sz w:val="20"/>
              </w:rPr>
            </w:pPr>
            <w:r w:rsidRPr="00E822F7">
              <w:rPr>
                <w:rFonts w:cs="Arial"/>
                <w:sz w:val="20"/>
              </w:rPr>
              <w:t xml:space="preserve">The SOP will be reviewed at least every two years or before if circumstances dictate. Each review should be documented and the SOP/protocol subject to version </w:t>
            </w:r>
            <w:r w:rsidRPr="000D0F3D">
              <w:rPr>
                <w:rFonts w:cs="Arial"/>
                <w:sz w:val="20"/>
              </w:rPr>
              <w:t xml:space="preserve">control. </w:t>
            </w:r>
            <w:r w:rsidR="000D0F3D" w:rsidRPr="000D0F3D">
              <w:rPr>
                <w:rFonts w:cs="Arial"/>
                <w:sz w:val="20"/>
              </w:rPr>
              <w:t>Staff delivering the service must be trained in the SOP and a training record held by the provider.</w:t>
            </w:r>
            <w:r w:rsidR="00772784">
              <w:rPr>
                <w:rFonts w:cs="Arial"/>
                <w:sz w:val="20"/>
              </w:rPr>
              <w:t xml:space="preserve"> </w:t>
            </w:r>
          </w:p>
          <w:p w14:paraId="67C96881" w14:textId="77777777" w:rsidR="000D0F3D" w:rsidRPr="00E822F7" w:rsidRDefault="000D0F3D" w:rsidP="00A56D08">
            <w:pPr>
              <w:rPr>
                <w:rFonts w:cs="Arial"/>
                <w:sz w:val="20"/>
              </w:rPr>
            </w:pPr>
          </w:p>
          <w:p w14:paraId="26243601" w14:textId="77777777" w:rsidR="00A56D08" w:rsidRPr="00E822F7" w:rsidRDefault="00A56D08" w:rsidP="00A56D08">
            <w:pPr>
              <w:rPr>
                <w:rFonts w:cs="Arial"/>
                <w:sz w:val="20"/>
              </w:rPr>
            </w:pPr>
            <w:r w:rsidRPr="00E822F7">
              <w:rPr>
                <w:rFonts w:cs="Arial"/>
                <w:sz w:val="20"/>
              </w:rPr>
              <w:t>Changes to procedure must be highlighted within the SOP for special attention.</w:t>
            </w:r>
          </w:p>
          <w:p w14:paraId="5638900A" w14:textId="77777777" w:rsidR="00A56D08" w:rsidRPr="00E822F7" w:rsidRDefault="00A56D08" w:rsidP="00A56D08">
            <w:pPr>
              <w:rPr>
                <w:rFonts w:cs="Arial"/>
                <w:sz w:val="20"/>
              </w:rPr>
            </w:pPr>
          </w:p>
          <w:p w14:paraId="52FABB01" w14:textId="77777777" w:rsidR="00A56D08" w:rsidRPr="00E822F7" w:rsidRDefault="00A56D08" w:rsidP="00A56D08">
            <w:pPr>
              <w:rPr>
                <w:rFonts w:cs="Arial"/>
                <w:sz w:val="20"/>
              </w:rPr>
            </w:pPr>
            <w:r w:rsidRPr="00E822F7">
              <w:rPr>
                <w:rFonts w:cs="Arial"/>
                <w:sz w:val="20"/>
              </w:rPr>
              <w:t xml:space="preserve">The service provider must ensure that there are systems in place to make locum pharmacists aware of the enhanced service. </w:t>
            </w:r>
          </w:p>
          <w:p w14:paraId="31E5C2E8" w14:textId="77777777" w:rsidR="00580786" w:rsidRPr="00E822F7" w:rsidRDefault="00580786" w:rsidP="00A56D08">
            <w:pPr>
              <w:rPr>
                <w:rFonts w:cs="Arial"/>
                <w:sz w:val="20"/>
              </w:rPr>
            </w:pPr>
          </w:p>
          <w:p w14:paraId="2665BC4B" w14:textId="23DB5F5A" w:rsidR="00A56D08" w:rsidRPr="00E822F7" w:rsidRDefault="00A56D08" w:rsidP="00A56D08">
            <w:pPr>
              <w:rPr>
                <w:rFonts w:cs="Arial"/>
                <w:sz w:val="20"/>
              </w:rPr>
            </w:pPr>
            <w:r w:rsidRPr="00E822F7">
              <w:rPr>
                <w:rFonts w:cs="Arial"/>
                <w:sz w:val="20"/>
              </w:rPr>
              <w:t>Halton Borough Council will disseminate information about the service to other pharmacy contractors and health care professionals in order that they are aware of what is reasonable to expect from the service and are able to signpost to the service.</w:t>
            </w:r>
          </w:p>
          <w:p w14:paraId="72284ED5" w14:textId="77777777" w:rsidR="00A56D08" w:rsidRPr="00E822F7" w:rsidRDefault="00A56D08">
            <w:pPr>
              <w:rPr>
                <w:rFonts w:cs="Arial"/>
                <w:sz w:val="20"/>
              </w:rPr>
            </w:pPr>
          </w:p>
          <w:p w14:paraId="65FF4990" w14:textId="6ECBF60C" w:rsidR="007B6876" w:rsidRPr="00E822F7" w:rsidRDefault="007B6876">
            <w:pPr>
              <w:rPr>
                <w:rFonts w:cs="Arial"/>
                <w:b/>
                <w:bCs/>
                <w:sz w:val="20"/>
              </w:rPr>
            </w:pPr>
            <w:r w:rsidRPr="00E822F7">
              <w:rPr>
                <w:rFonts w:cs="Arial"/>
                <w:b/>
                <w:bCs/>
                <w:sz w:val="20"/>
              </w:rPr>
              <w:t xml:space="preserve">6.2 </w:t>
            </w:r>
            <w:r w:rsidR="00115D67" w:rsidRPr="00E822F7">
              <w:rPr>
                <w:rFonts w:cs="Arial"/>
                <w:b/>
                <w:bCs/>
                <w:sz w:val="20"/>
              </w:rPr>
              <w:t xml:space="preserve">Responsibilities of </w:t>
            </w:r>
            <w:r w:rsidRPr="00E822F7">
              <w:rPr>
                <w:rFonts w:cs="Arial"/>
                <w:b/>
                <w:bCs/>
                <w:sz w:val="20"/>
              </w:rPr>
              <w:t xml:space="preserve">Halton Borough Council (HBC) </w:t>
            </w:r>
            <w:r w:rsidR="00115D67" w:rsidRPr="00E822F7">
              <w:rPr>
                <w:rFonts w:cs="Arial"/>
                <w:b/>
                <w:bCs/>
                <w:sz w:val="20"/>
              </w:rPr>
              <w:t>and the Stop Smoking Service</w:t>
            </w:r>
          </w:p>
          <w:p w14:paraId="58520D1B" w14:textId="77777777" w:rsidR="00B77A53" w:rsidRPr="00E822F7" w:rsidRDefault="00B77A53" w:rsidP="00B77A53">
            <w:pPr>
              <w:widowControl w:val="0"/>
              <w:tabs>
                <w:tab w:val="left" w:pos="204"/>
                <w:tab w:val="left" w:pos="5040"/>
              </w:tabs>
              <w:suppressAutoHyphens w:val="0"/>
              <w:contextualSpacing/>
              <w:rPr>
                <w:rFonts w:cs="Arial"/>
                <w:sz w:val="20"/>
              </w:rPr>
            </w:pPr>
            <w:r w:rsidRPr="00E822F7">
              <w:rPr>
                <w:rFonts w:cs="Arial"/>
                <w:sz w:val="20"/>
              </w:rPr>
              <w:t xml:space="preserve">All materials required including equipment, documentation and smoking cessation leaflets will be supplied free of charge to the pharmacy by the Stop Smoking service. </w:t>
            </w:r>
          </w:p>
          <w:p w14:paraId="5ECD986D" w14:textId="77777777" w:rsidR="00B77A53" w:rsidRPr="00E822F7" w:rsidRDefault="00B77A53" w:rsidP="00B77A53">
            <w:pPr>
              <w:widowControl w:val="0"/>
              <w:tabs>
                <w:tab w:val="left" w:pos="204"/>
                <w:tab w:val="left" w:pos="5040"/>
              </w:tabs>
              <w:rPr>
                <w:rFonts w:cs="Arial"/>
                <w:sz w:val="20"/>
              </w:rPr>
            </w:pPr>
          </w:p>
          <w:p w14:paraId="105D82B7" w14:textId="77777777" w:rsidR="00B77A53" w:rsidRPr="00E822F7" w:rsidRDefault="00B77A53" w:rsidP="00B77A53">
            <w:pPr>
              <w:widowControl w:val="0"/>
              <w:tabs>
                <w:tab w:val="left" w:pos="204"/>
                <w:tab w:val="left" w:pos="5040"/>
              </w:tabs>
              <w:suppressAutoHyphens w:val="0"/>
              <w:contextualSpacing/>
              <w:jc w:val="left"/>
              <w:rPr>
                <w:rFonts w:cs="Arial"/>
                <w:sz w:val="20"/>
              </w:rPr>
            </w:pPr>
            <w:r w:rsidRPr="00E822F7">
              <w:rPr>
                <w:rFonts w:cs="Arial"/>
                <w:sz w:val="20"/>
              </w:rPr>
              <w:t>HBC will reimburse the pharmacy for:</w:t>
            </w:r>
          </w:p>
          <w:p w14:paraId="6E6C5648" w14:textId="77777777" w:rsidR="00B77A53" w:rsidRPr="00E822F7" w:rsidRDefault="00B77A53" w:rsidP="00B77A53">
            <w:pPr>
              <w:pStyle w:val="ListParagraph"/>
              <w:rPr>
                <w:rFonts w:cs="Arial"/>
                <w:sz w:val="20"/>
              </w:rPr>
            </w:pPr>
          </w:p>
          <w:p w14:paraId="4D370403" w14:textId="77777777" w:rsidR="00B77A53" w:rsidRPr="00E822F7" w:rsidRDefault="00B77A53" w:rsidP="00B77A53">
            <w:pPr>
              <w:pStyle w:val="ListParagraph"/>
              <w:widowControl w:val="0"/>
              <w:numPr>
                <w:ilvl w:val="0"/>
                <w:numId w:val="11"/>
              </w:numPr>
              <w:tabs>
                <w:tab w:val="left" w:pos="204"/>
                <w:tab w:val="left" w:pos="5040"/>
              </w:tabs>
              <w:suppressAutoHyphens w:val="0"/>
              <w:jc w:val="left"/>
              <w:rPr>
                <w:rFonts w:cs="Arial"/>
                <w:sz w:val="20"/>
              </w:rPr>
            </w:pPr>
            <w:r w:rsidRPr="00E822F7">
              <w:rPr>
                <w:rFonts w:cs="Arial"/>
                <w:sz w:val="20"/>
              </w:rPr>
              <w:t xml:space="preserve">Where applicable, the total cost of NRT including VAT (less applicable prescription charges) and a dispensing fee for each voucher processed; and  </w:t>
            </w:r>
          </w:p>
          <w:p w14:paraId="52A1CAAB" w14:textId="77777777" w:rsidR="00B77A53" w:rsidRPr="00E822F7" w:rsidRDefault="00B77A53" w:rsidP="00B77A53">
            <w:pPr>
              <w:pStyle w:val="ListParagraph"/>
              <w:widowControl w:val="0"/>
              <w:numPr>
                <w:ilvl w:val="0"/>
                <w:numId w:val="11"/>
              </w:numPr>
              <w:tabs>
                <w:tab w:val="left" w:pos="204"/>
                <w:tab w:val="left" w:pos="5040"/>
              </w:tabs>
              <w:suppressAutoHyphens w:val="0"/>
              <w:jc w:val="left"/>
              <w:rPr>
                <w:rFonts w:cs="Arial"/>
                <w:sz w:val="20"/>
              </w:rPr>
            </w:pPr>
            <w:r w:rsidRPr="00E822F7">
              <w:rPr>
                <w:rFonts w:cs="Arial"/>
                <w:sz w:val="20"/>
              </w:rPr>
              <w:lastRenderedPageBreak/>
              <w:t>An agreed payment for providing the Intermediate Smoking Cessation service upon submission of the four week follow up monitoring form.</w:t>
            </w:r>
          </w:p>
          <w:p w14:paraId="23E8EB53" w14:textId="77777777" w:rsidR="00B77A53" w:rsidRPr="00E822F7" w:rsidRDefault="00B77A53" w:rsidP="00B77A53">
            <w:pPr>
              <w:pStyle w:val="ListParagraph"/>
              <w:widowControl w:val="0"/>
              <w:numPr>
                <w:ilvl w:val="0"/>
                <w:numId w:val="11"/>
              </w:numPr>
              <w:tabs>
                <w:tab w:val="left" w:pos="204"/>
                <w:tab w:val="left" w:pos="5040"/>
              </w:tabs>
              <w:suppressAutoHyphens w:val="0"/>
              <w:jc w:val="left"/>
              <w:rPr>
                <w:rFonts w:cs="Arial"/>
                <w:sz w:val="20"/>
              </w:rPr>
            </w:pPr>
            <w:r w:rsidRPr="00E822F7">
              <w:rPr>
                <w:rFonts w:cs="Arial"/>
                <w:sz w:val="20"/>
              </w:rPr>
              <w:t>HBC will provide a framework for recording relevant service information for the purposes of audit and claiming payment.</w:t>
            </w:r>
          </w:p>
          <w:p w14:paraId="2AFAAA9C" w14:textId="32CF1C60" w:rsidR="00B77A53" w:rsidRPr="00E822F7" w:rsidRDefault="00B77A53" w:rsidP="00B77A53">
            <w:pPr>
              <w:pStyle w:val="ListParagraph"/>
              <w:widowControl w:val="0"/>
              <w:numPr>
                <w:ilvl w:val="0"/>
                <w:numId w:val="11"/>
              </w:numPr>
              <w:tabs>
                <w:tab w:val="left" w:pos="204"/>
                <w:tab w:val="left" w:pos="5040"/>
              </w:tabs>
              <w:suppressAutoHyphens w:val="0"/>
              <w:rPr>
                <w:rFonts w:cs="Arial"/>
                <w:sz w:val="20"/>
              </w:rPr>
            </w:pPr>
            <w:r w:rsidRPr="00E822F7">
              <w:rPr>
                <w:rFonts w:cs="Arial"/>
                <w:sz w:val="20"/>
              </w:rPr>
              <w:t xml:space="preserve">HBC, with the Stop Smoking service will be responsible for the promotion of the service locally including the development of publicity materials. </w:t>
            </w:r>
          </w:p>
          <w:p w14:paraId="6D6FF0F8" w14:textId="77777777" w:rsidR="00B77A53" w:rsidRPr="00E822F7" w:rsidRDefault="00B77A53" w:rsidP="00B77A53">
            <w:pPr>
              <w:pStyle w:val="ListParagraph"/>
              <w:widowControl w:val="0"/>
              <w:numPr>
                <w:ilvl w:val="0"/>
                <w:numId w:val="11"/>
              </w:numPr>
              <w:tabs>
                <w:tab w:val="left" w:pos="204"/>
                <w:tab w:val="left" w:pos="5040"/>
              </w:tabs>
              <w:suppressAutoHyphens w:val="0"/>
              <w:rPr>
                <w:rFonts w:cs="Arial"/>
                <w:sz w:val="20"/>
              </w:rPr>
            </w:pPr>
            <w:r w:rsidRPr="00E822F7">
              <w:rPr>
                <w:rFonts w:cs="Arial"/>
                <w:sz w:val="20"/>
              </w:rPr>
              <w:t xml:space="preserve">HBC, with the Stop Smoking service will provide details of allied services which pharmacy staff can use to signpost clients who require further assistance. </w:t>
            </w:r>
          </w:p>
          <w:p w14:paraId="7A7C532D" w14:textId="77777777" w:rsidR="00B77A53" w:rsidRPr="00E822F7" w:rsidRDefault="00B77A53" w:rsidP="00B77A53">
            <w:pPr>
              <w:pStyle w:val="ListParagraph"/>
              <w:widowControl w:val="0"/>
              <w:numPr>
                <w:ilvl w:val="0"/>
                <w:numId w:val="11"/>
              </w:numPr>
              <w:tabs>
                <w:tab w:val="left" w:pos="204"/>
              </w:tabs>
              <w:suppressAutoHyphens w:val="0"/>
              <w:jc w:val="left"/>
              <w:rPr>
                <w:rFonts w:cs="Arial"/>
                <w:sz w:val="20"/>
              </w:rPr>
            </w:pPr>
            <w:r w:rsidRPr="00E822F7">
              <w:rPr>
                <w:rFonts w:cs="Arial"/>
                <w:sz w:val="20"/>
              </w:rPr>
              <w:t xml:space="preserve">HBC will periodically review the service. </w:t>
            </w:r>
          </w:p>
          <w:p w14:paraId="0E8FD392" w14:textId="698B03FC" w:rsidR="00B77A53" w:rsidRPr="00E822F7" w:rsidRDefault="00B77A53" w:rsidP="00B77A53">
            <w:pPr>
              <w:pStyle w:val="ListParagraph"/>
              <w:widowControl w:val="0"/>
              <w:numPr>
                <w:ilvl w:val="0"/>
                <w:numId w:val="11"/>
              </w:numPr>
              <w:tabs>
                <w:tab w:val="left" w:pos="204"/>
              </w:tabs>
              <w:suppressAutoHyphens w:val="0"/>
              <w:jc w:val="left"/>
              <w:rPr>
                <w:rFonts w:cs="Arial"/>
                <w:sz w:val="20"/>
              </w:rPr>
            </w:pPr>
            <w:r w:rsidRPr="00E822F7">
              <w:rPr>
                <w:rFonts w:cs="Arial"/>
                <w:sz w:val="20"/>
              </w:rPr>
              <w:t xml:space="preserve">HBC reserve the right to vary this contract if circumstances change. </w:t>
            </w:r>
            <w:r w:rsidR="0063502F" w:rsidRPr="00E822F7">
              <w:rPr>
                <w:rFonts w:cs="Arial"/>
                <w:sz w:val="20"/>
              </w:rPr>
              <w:t xml:space="preserve">This will be mutually </w:t>
            </w:r>
            <w:r w:rsidR="00365205" w:rsidRPr="00E822F7">
              <w:rPr>
                <w:rFonts w:cs="Arial"/>
                <w:sz w:val="20"/>
              </w:rPr>
              <w:t>agreed</w:t>
            </w:r>
            <w:r w:rsidR="0078055B" w:rsidRPr="00E822F7">
              <w:rPr>
                <w:rFonts w:cs="Arial"/>
                <w:sz w:val="20"/>
              </w:rPr>
              <w:t xml:space="preserve"> with the service provider</w:t>
            </w:r>
            <w:r w:rsidR="00365205" w:rsidRPr="00E822F7">
              <w:rPr>
                <w:rFonts w:cs="Arial"/>
                <w:sz w:val="20"/>
              </w:rPr>
              <w:t xml:space="preserve"> in advance</w:t>
            </w:r>
            <w:r w:rsidR="0078055B" w:rsidRPr="00E822F7">
              <w:rPr>
                <w:rFonts w:cs="Arial"/>
                <w:sz w:val="20"/>
              </w:rPr>
              <w:t>.</w:t>
            </w:r>
          </w:p>
          <w:p w14:paraId="0D823C5A" w14:textId="77777777" w:rsidR="00B77A53" w:rsidRPr="00E822F7" w:rsidRDefault="00B77A53">
            <w:pPr>
              <w:rPr>
                <w:rFonts w:cs="Arial"/>
                <w:sz w:val="20"/>
              </w:rPr>
            </w:pPr>
          </w:p>
          <w:p w14:paraId="67E1A8A8" w14:textId="22AEEAF1" w:rsidR="007B6876" w:rsidRPr="00E822F7" w:rsidRDefault="007B6876">
            <w:pPr>
              <w:rPr>
                <w:rFonts w:cs="Arial"/>
                <w:b/>
                <w:bCs/>
                <w:sz w:val="20"/>
              </w:rPr>
            </w:pPr>
            <w:r w:rsidRPr="00E822F7">
              <w:rPr>
                <w:rFonts w:cs="Arial"/>
                <w:b/>
                <w:bCs/>
                <w:sz w:val="20"/>
              </w:rPr>
              <w:t>6.3 Service provision and continuity</w:t>
            </w:r>
          </w:p>
          <w:p w14:paraId="48A85802" w14:textId="77777777" w:rsidR="007B6876" w:rsidRPr="00E822F7" w:rsidRDefault="00D116A8">
            <w:pPr>
              <w:rPr>
                <w:rFonts w:cs="Arial"/>
                <w:sz w:val="20"/>
              </w:rPr>
            </w:pPr>
            <w:r w:rsidRPr="00E822F7">
              <w:rPr>
                <w:rFonts w:cs="Arial"/>
                <w:sz w:val="20"/>
              </w:rPr>
              <w:t>It is the responsibility of the service provider to have a process in place which ensures that all new staff and locums are aware of all enhanced services provided by the pharmacy and commissioned by Halton BC and must maintain continuity of service during and after staff changes.</w:t>
            </w:r>
          </w:p>
          <w:p w14:paraId="4BB338D0" w14:textId="31EB04BC" w:rsidR="00BF1933" w:rsidRPr="00E822F7" w:rsidRDefault="00BF1933">
            <w:pPr>
              <w:rPr>
                <w:rFonts w:cs="Arial"/>
                <w:sz w:val="20"/>
              </w:rPr>
            </w:pPr>
          </w:p>
        </w:tc>
      </w:tr>
      <w:tr w:rsidR="001E2E94" w:rsidRPr="00FA34B0" w14:paraId="061F6506" w14:textId="77777777" w:rsidTr="006969ED">
        <w:tc>
          <w:tcPr>
            <w:tcW w:w="9016" w:type="dxa"/>
            <w:shd w:val="clear" w:color="auto" w:fill="BFBFBF" w:themeFill="background1" w:themeFillShade="BF"/>
          </w:tcPr>
          <w:p w14:paraId="122DE7B9" w14:textId="14B58DE5" w:rsidR="001E2E94" w:rsidRPr="006969ED" w:rsidRDefault="007B6876">
            <w:pPr>
              <w:rPr>
                <w:rFonts w:cs="Arial"/>
                <w:b/>
                <w:bCs/>
                <w:sz w:val="20"/>
              </w:rPr>
            </w:pPr>
            <w:r w:rsidRPr="006969ED">
              <w:rPr>
                <w:rFonts w:cs="Arial"/>
                <w:b/>
                <w:bCs/>
                <w:sz w:val="20"/>
              </w:rPr>
              <w:lastRenderedPageBreak/>
              <w:t xml:space="preserve">7. Training and Competency </w:t>
            </w:r>
          </w:p>
        </w:tc>
      </w:tr>
      <w:tr w:rsidR="001E2E94" w:rsidRPr="00FA34B0" w14:paraId="416A12E5" w14:textId="77777777" w:rsidTr="001E2E94">
        <w:tc>
          <w:tcPr>
            <w:tcW w:w="9016" w:type="dxa"/>
          </w:tcPr>
          <w:p w14:paraId="115D14EB" w14:textId="77777777" w:rsidR="00CD48E6" w:rsidRDefault="00CD48E6" w:rsidP="00CD48E6">
            <w:pPr>
              <w:pStyle w:val="pf0"/>
              <w:rPr>
                <w:rFonts w:ascii="Arial" w:hAnsi="Arial" w:cs="Arial"/>
                <w:sz w:val="20"/>
                <w:szCs w:val="20"/>
                <w:lang w:eastAsia="en-US"/>
              </w:rPr>
            </w:pPr>
            <w:r w:rsidRPr="00CD48E6">
              <w:rPr>
                <w:rFonts w:ascii="Arial" w:hAnsi="Arial" w:cs="Arial"/>
                <w:sz w:val="20"/>
                <w:szCs w:val="20"/>
                <w:lang w:eastAsia="en-US"/>
              </w:rPr>
              <w:t>All pharmacy staff providing stop smoking advisor consultations must be trained to offer brief advice or brief intervention as detailed below:</w:t>
            </w:r>
          </w:p>
          <w:p w14:paraId="54501F55" w14:textId="77777777" w:rsidR="00CD48E6" w:rsidRDefault="00CD48E6" w:rsidP="00CD48E6">
            <w:pPr>
              <w:pStyle w:val="pf0"/>
              <w:spacing w:before="0" w:beforeAutospacing="0" w:after="0" w:afterAutospacing="0"/>
              <w:rPr>
                <w:rFonts w:ascii="Arial" w:hAnsi="Arial" w:cs="Arial"/>
                <w:sz w:val="20"/>
                <w:szCs w:val="20"/>
                <w:lang w:eastAsia="en-US"/>
              </w:rPr>
            </w:pPr>
            <w:r w:rsidRPr="00CD48E6">
              <w:rPr>
                <w:rFonts w:ascii="Arial" w:hAnsi="Arial" w:cs="Arial"/>
                <w:sz w:val="20"/>
                <w:szCs w:val="20"/>
                <w:lang w:eastAsia="en-US"/>
              </w:rPr>
              <w:t>Advisors are required to complete the NCSCT combined online level 1 (brief intervention) and level 2 (intermediate) training and assessment programme</w:t>
            </w:r>
            <w:r>
              <w:rPr>
                <w:rFonts w:ascii="Arial" w:hAnsi="Arial" w:cs="Arial"/>
                <w:sz w:val="20"/>
                <w:szCs w:val="20"/>
                <w:lang w:eastAsia="en-US"/>
              </w:rPr>
              <w:t>.</w:t>
            </w:r>
          </w:p>
          <w:p w14:paraId="1661CFB5" w14:textId="70B17D7D" w:rsidR="00314EB9" w:rsidRPr="00472425" w:rsidRDefault="00314EB9" w:rsidP="00472425">
            <w:pPr>
              <w:suppressAutoHyphens w:val="0"/>
              <w:jc w:val="left"/>
              <w:rPr>
                <w:rFonts w:cs="Arial"/>
                <w:sz w:val="20"/>
              </w:rPr>
            </w:pPr>
          </w:p>
        </w:tc>
      </w:tr>
      <w:tr w:rsidR="001E2E94" w:rsidRPr="00FA34B0" w14:paraId="2FE70FD9" w14:textId="77777777" w:rsidTr="006969ED">
        <w:tc>
          <w:tcPr>
            <w:tcW w:w="9016" w:type="dxa"/>
            <w:shd w:val="clear" w:color="auto" w:fill="BFBFBF" w:themeFill="background1" w:themeFillShade="BF"/>
          </w:tcPr>
          <w:p w14:paraId="3B2C5C8B" w14:textId="097AA625" w:rsidR="001E2E94" w:rsidRPr="006969ED" w:rsidRDefault="007B6876">
            <w:pPr>
              <w:rPr>
                <w:rFonts w:cs="Arial"/>
                <w:b/>
                <w:bCs/>
                <w:sz w:val="20"/>
              </w:rPr>
            </w:pPr>
            <w:r w:rsidRPr="006969ED">
              <w:rPr>
                <w:rFonts w:cs="Arial"/>
                <w:b/>
                <w:bCs/>
                <w:sz w:val="20"/>
              </w:rPr>
              <w:t xml:space="preserve">8. Welfare </w:t>
            </w:r>
          </w:p>
        </w:tc>
      </w:tr>
      <w:tr w:rsidR="007B6876" w:rsidRPr="00FA34B0" w14:paraId="3FD3C993" w14:textId="77777777" w:rsidTr="001E2E94">
        <w:tc>
          <w:tcPr>
            <w:tcW w:w="9016" w:type="dxa"/>
          </w:tcPr>
          <w:p w14:paraId="5D21855E" w14:textId="77777777" w:rsidR="00972AD3" w:rsidRPr="00FA34B0" w:rsidRDefault="00972AD3" w:rsidP="00972AD3">
            <w:pPr>
              <w:rPr>
                <w:rFonts w:cs="Arial"/>
                <w:sz w:val="20"/>
                <w:lang w:eastAsia="en-GB"/>
              </w:rPr>
            </w:pPr>
            <w:r w:rsidRPr="00FA34B0">
              <w:rPr>
                <w:rFonts w:cs="Arial"/>
                <w:sz w:val="20"/>
                <w:lang w:eastAsia="en-GB"/>
              </w:rPr>
              <w:t>Where there are concerns about the welfare of any person aged 0 to 18 within the pharmacy setting and/or accessing the service appropriate immediate action must be taken to address those concerns by following the Safeguarding pathway.</w:t>
            </w:r>
          </w:p>
          <w:p w14:paraId="6A066028" w14:textId="77777777" w:rsidR="00972AD3" w:rsidRPr="00FA34B0" w:rsidRDefault="00972AD3" w:rsidP="00972AD3">
            <w:pPr>
              <w:rPr>
                <w:rStyle w:val="Hyperlink"/>
                <w:rFonts w:cs="Arial"/>
                <w:sz w:val="20"/>
                <w:lang w:eastAsia="en-GB"/>
              </w:rPr>
            </w:pPr>
            <w:r w:rsidRPr="00FA34B0">
              <w:rPr>
                <w:rFonts w:cs="Arial"/>
                <w:sz w:val="20"/>
                <w:lang w:eastAsia="en-GB"/>
              </w:rPr>
              <w:t>Additional information on Child Safeguarding procedures can be found at:</w:t>
            </w:r>
          </w:p>
          <w:p w14:paraId="11A3C5C9" w14:textId="77777777" w:rsidR="00972AD3" w:rsidRPr="00FA34B0" w:rsidRDefault="000C6FE1" w:rsidP="00972AD3">
            <w:pPr>
              <w:rPr>
                <w:rStyle w:val="Hyperlink"/>
                <w:rFonts w:cs="Arial"/>
                <w:sz w:val="20"/>
                <w:lang w:eastAsia="en-GB"/>
              </w:rPr>
            </w:pPr>
            <w:hyperlink r:id="rId8" w:history="1">
              <w:r w:rsidR="00972AD3" w:rsidRPr="00FA34B0">
                <w:rPr>
                  <w:rStyle w:val="Hyperlink"/>
                  <w:rFonts w:cs="Arial"/>
                  <w:sz w:val="20"/>
                  <w:lang w:eastAsia="en-GB"/>
                </w:rPr>
                <w:t>https://hcypsp.haltonsafeguarding.co.uk/</w:t>
              </w:r>
            </w:hyperlink>
          </w:p>
          <w:p w14:paraId="52E76F09" w14:textId="77777777" w:rsidR="00972AD3" w:rsidRPr="00FA34B0" w:rsidRDefault="00972AD3" w:rsidP="00972AD3">
            <w:pPr>
              <w:rPr>
                <w:rStyle w:val="Hyperlink"/>
                <w:rFonts w:cs="Arial"/>
                <w:sz w:val="20"/>
                <w:lang w:eastAsia="en-GB"/>
              </w:rPr>
            </w:pPr>
          </w:p>
          <w:p w14:paraId="139B7CE5" w14:textId="77777777" w:rsidR="00972AD3" w:rsidRPr="00FA34B0" w:rsidRDefault="000C6FE1" w:rsidP="00972AD3">
            <w:pPr>
              <w:rPr>
                <w:rFonts w:cs="Arial"/>
                <w:sz w:val="20"/>
                <w:lang w:eastAsia="en-GB"/>
              </w:rPr>
            </w:pPr>
            <w:hyperlink r:id="rId9" w:history="1">
              <w:r w:rsidR="00972AD3" w:rsidRPr="00FA34B0">
                <w:rPr>
                  <w:rStyle w:val="Hyperlink"/>
                  <w:rFonts w:cs="Arial"/>
                  <w:sz w:val="20"/>
                  <w:lang w:eastAsia="en-GB"/>
                </w:rPr>
                <w:t>https://hcypsp.haltonsafeguarding.co.uk/procedures-guidance/</w:t>
              </w:r>
            </w:hyperlink>
            <w:r w:rsidR="00972AD3" w:rsidRPr="00FA34B0">
              <w:rPr>
                <w:rFonts w:cs="Arial"/>
                <w:sz w:val="20"/>
                <w:lang w:eastAsia="en-GB"/>
              </w:rPr>
              <w:t xml:space="preserve"> </w:t>
            </w:r>
          </w:p>
          <w:p w14:paraId="4F1321C0" w14:textId="77777777" w:rsidR="00972AD3" w:rsidRPr="00FA34B0" w:rsidRDefault="00972AD3" w:rsidP="00972AD3">
            <w:pPr>
              <w:rPr>
                <w:rFonts w:cs="Arial"/>
                <w:sz w:val="20"/>
                <w:lang w:eastAsia="en-GB"/>
              </w:rPr>
            </w:pPr>
          </w:p>
          <w:p w14:paraId="2C02A44F" w14:textId="591DDABE" w:rsidR="00972AD3" w:rsidRPr="00FA34B0" w:rsidRDefault="00972AD3" w:rsidP="00972AD3">
            <w:pPr>
              <w:rPr>
                <w:rFonts w:cs="Arial"/>
                <w:sz w:val="20"/>
                <w:lang w:eastAsia="en-GB"/>
              </w:rPr>
            </w:pPr>
            <w:r w:rsidRPr="00FA34B0">
              <w:rPr>
                <w:rFonts w:cs="Arial"/>
                <w:sz w:val="20"/>
                <w:lang w:eastAsia="en-GB"/>
              </w:rPr>
              <w:t>If there are concerns about the welfare of someone over the age of 18 pharmacists are required to contact Halton Borough Council on 0303 333 4300 (this will be picked up by the Emergency Duty Team if outside of normal office hours) or if there is an immediate threat to safety or wellbeing the pharmacist should contact the Police.</w:t>
            </w:r>
          </w:p>
          <w:p w14:paraId="2568C82A" w14:textId="77777777" w:rsidR="007B6876" w:rsidRPr="00FA34B0" w:rsidRDefault="007B6876">
            <w:pPr>
              <w:rPr>
                <w:rFonts w:cs="Arial"/>
                <w:sz w:val="20"/>
              </w:rPr>
            </w:pPr>
          </w:p>
        </w:tc>
      </w:tr>
      <w:tr w:rsidR="007B6876" w:rsidRPr="00FA34B0" w14:paraId="7611FAEC" w14:textId="77777777" w:rsidTr="006969ED">
        <w:tc>
          <w:tcPr>
            <w:tcW w:w="9016" w:type="dxa"/>
            <w:shd w:val="clear" w:color="auto" w:fill="BFBFBF" w:themeFill="background1" w:themeFillShade="BF"/>
          </w:tcPr>
          <w:p w14:paraId="3EA25E8C" w14:textId="6433C41E" w:rsidR="007B6876" w:rsidRPr="006969ED" w:rsidRDefault="007B6876">
            <w:pPr>
              <w:rPr>
                <w:rFonts w:cs="Arial"/>
                <w:b/>
                <w:bCs/>
                <w:sz w:val="20"/>
              </w:rPr>
            </w:pPr>
            <w:r w:rsidRPr="006969ED">
              <w:rPr>
                <w:rFonts w:cs="Arial"/>
                <w:b/>
                <w:bCs/>
                <w:sz w:val="20"/>
              </w:rPr>
              <w:t>9. Significant Event Reporting</w:t>
            </w:r>
          </w:p>
        </w:tc>
      </w:tr>
      <w:tr w:rsidR="007B6876" w:rsidRPr="00FA34B0" w14:paraId="537BF945" w14:textId="77777777" w:rsidTr="001E2E94">
        <w:tc>
          <w:tcPr>
            <w:tcW w:w="9016" w:type="dxa"/>
          </w:tcPr>
          <w:p w14:paraId="5B48F3B3" w14:textId="77777777" w:rsidR="00C36334" w:rsidRPr="00FA34B0" w:rsidRDefault="00C36334" w:rsidP="00C36334">
            <w:pPr>
              <w:contextualSpacing/>
              <w:rPr>
                <w:rFonts w:cs="Arial"/>
                <w:sz w:val="20"/>
              </w:rPr>
            </w:pPr>
            <w:r w:rsidRPr="00FA34B0">
              <w:rPr>
                <w:rFonts w:cs="Arial"/>
                <w:sz w:val="20"/>
              </w:rPr>
              <w:t xml:space="preserve">The service provider must have an adverse incident and near miss reporting system in place which includes maintaining a log of patient safety incidents. </w:t>
            </w:r>
          </w:p>
          <w:p w14:paraId="18B9F2F8" w14:textId="77777777" w:rsidR="00C36334" w:rsidRPr="00FA34B0" w:rsidRDefault="00C36334" w:rsidP="00C36334">
            <w:pPr>
              <w:contextualSpacing/>
              <w:rPr>
                <w:rFonts w:cs="Arial"/>
                <w:sz w:val="20"/>
              </w:rPr>
            </w:pPr>
          </w:p>
          <w:p w14:paraId="30AADEE0" w14:textId="77777777" w:rsidR="00C36334" w:rsidRPr="00FA34B0" w:rsidRDefault="00C36334" w:rsidP="00C36334">
            <w:pPr>
              <w:contextualSpacing/>
              <w:rPr>
                <w:rFonts w:cs="Arial"/>
                <w:sz w:val="20"/>
              </w:rPr>
            </w:pPr>
            <w:r w:rsidRPr="00FA34B0">
              <w:rPr>
                <w:rFonts w:cs="Arial"/>
                <w:sz w:val="20"/>
              </w:rPr>
              <w:t>In the case of an adverse incident involving a client who has been supplied with NRT the client's GP must be informed.</w:t>
            </w:r>
          </w:p>
          <w:p w14:paraId="2634F57E" w14:textId="77777777" w:rsidR="00C36334" w:rsidRPr="00FA34B0" w:rsidRDefault="00C36334" w:rsidP="00C36334">
            <w:pPr>
              <w:contextualSpacing/>
              <w:rPr>
                <w:rFonts w:cs="Arial"/>
                <w:sz w:val="20"/>
              </w:rPr>
            </w:pPr>
          </w:p>
          <w:p w14:paraId="58BAAC80" w14:textId="77777777" w:rsidR="00C36334" w:rsidRPr="00FA34B0" w:rsidRDefault="00C36334" w:rsidP="00C36334">
            <w:pPr>
              <w:contextualSpacing/>
              <w:rPr>
                <w:rFonts w:cs="Arial"/>
                <w:sz w:val="20"/>
              </w:rPr>
            </w:pPr>
            <w:r w:rsidRPr="00FA34B0">
              <w:rPr>
                <w:rFonts w:cs="Arial"/>
                <w:sz w:val="20"/>
              </w:rPr>
              <w:t>The service provider should be able to demonstrate that it has learnt from an event.</w:t>
            </w:r>
          </w:p>
          <w:p w14:paraId="0C78A084" w14:textId="77777777" w:rsidR="00C36334" w:rsidRPr="00FA34B0" w:rsidRDefault="00C36334" w:rsidP="00C36334">
            <w:pPr>
              <w:contextualSpacing/>
              <w:rPr>
                <w:rFonts w:cs="Arial"/>
                <w:sz w:val="20"/>
              </w:rPr>
            </w:pPr>
          </w:p>
          <w:p w14:paraId="0AB29EA8" w14:textId="77777777" w:rsidR="00C36334" w:rsidRPr="00FA34B0" w:rsidRDefault="00C36334" w:rsidP="00C36334">
            <w:pPr>
              <w:contextualSpacing/>
              <w:rPr>
                <w:rFonts w:cs="Arial"/>
                <w:sz w:val="20"/>
              </w:rPr>
            </w:pPr>
            <w:r w:rsidRPr="00FA34B0">
              <w:rPr>
                <w:rFonts w:cs="Arial"/>
                <w:sz w:val="20"/>
              </w:rPr>
              <w:t>Halton Borough Council reserves the right to undertake its own root cause analysis if it feels that the root cause is derived from the implementation of the service specification, protocol or PGD.</w:t>
            </w:r>
          </w:p>
          <w:p w14:paraId="017D3713" w14:textId="77777777" w:rsidR="00C36334" w:rsidRPr="00FA34B0" w:rsidRDefault="00C36334" w:rsidP="00C36334">
            <w:pPr>
              <w:contextualSpacing/>
              <w:rPr>
                <w:rFonts w:cs="Arial"/>
                <w:sz w:val="20"/>
              </w:rPr>
            </w:pPr>
            <w:r w:rsidRPr="00FA34B0">
              <w:rPr>
                <w:rFonts w:cs="Arial"/>
                <w:sz w:val="20"/>
              </w:rPr>
              <w:t xml:space="preserve"> </w:t>
            </w:r>
          </w:p>
          <w:p w14:paraId="3BB6958A" w14:textId="2041DE9B" w:rsidR="00C36334" w:rsidRPr="00FA34B0" w:rsidRDefault="00C36334" w:rsidP="00C36334">
            <w:pPr>
              <w:contextualSpacing/>
              <w:rPr>
                <w:rFonts w:cs="Arial"/>
                <w:sz w:val="20"/>
              </w:rPr>
            </w:pPr>
            <w:r w:rsidRPr="00FA34B0">
              <w:rPr>
                <w:rFonts w:cs="Arial"/>
                <w:sz w:val="20"/>
              </w:rPr>
              <w:t xml:space="preserve">Patient or staff safety incidents or near miss incidents related to this service must be reported to </w:t>
            </w:r>
            <w:r w:rsidR="0027686C" w:rsidRPr="00092626">
              <w:rPr>
                <w:rFonts w:cs="Arial"/>
                <w:sz w:val="20"/>
                <w:u w:val="single"/>
              </w:rPr>
              <w:t>public.health@halton.gov.uk.</w:t>
            </w:r>
          </w:p>
          <w:p w14:paraId="20AACCB5" w14:textId="77777777" w:rsidR="007B6876" w:rsidRPr="00FA34B0" w:rsidRDefault="007B6876">
            <w:pPr>
              <w:rPr>
                <w:rFonts w:cs="Arial"/>
                <w:sz w:val="20"/>
              </w:rPr>
            </w:pPr>
          </w:p>
        </w:tc>
      </w:tr>
      <w:tr w:rsidR="007B6876" w:rsidRPr="00FA34B0" w14:paraId="32064DAE" w14:textId="77777777" w:rsidTr="006969ED">
        <w:tc>
          <w:tcPr>
            <w:tcW w:w="9016" w:type="dxa"/>
            <w:shd w:val="clear" w:color="auto" w:fill="BFBFBF" w:themeFill="background1" w:themeFillShade="BF"/>
          </w:tcPr>
          <w:p w14:paraId="5EC47696" w14:textId="161EF137" w:rsidR="007B6876" w:rsidRPr="006969ED" w:rsidRDefault="007B6876">
            <w:pPr>
              <w:rPr>
                <w:rFonts w:cs="Arial"/>
                <w:b/>
                <w:bCs/>
                <w:sz w:val="20"/>
              </w:rPr>
            </w:pPr>
            <w:r w:rsidRPr="006969ED">
              <w:rPr>
                <w:rFonts w:cs="Arial"/>
                <w:b/>
                <w:bCs/>
                <w:sz w:val="20"/>
              </w:rPr>
              <w:t>10. Complaints</w:t>
            </w:r>
          </w:p>
        </w:tc>
      </w:tr>
      <w:tr w:rsidR="007B6876" w:rsidRPr="00FA34B0" w14:paraId="258C9731" w14:textId="77777777" w:rsidTr="001E2E94">
        <w:tc>
          <w:tcPr>
            <w:tcW w:w="9016" w:type="dxa"/>
          </w:tcPr>
          <w:p w14:paraId="3AA9D5DE" w14:textId="77777777" w:rsidR="00012E64" w:rsidRPr="00FA34B0" w:rsidRDefault="00012E64" w:rsidP="00012E64">
            <w:pPr>
              <w:rPr>
                <w:rFonts w:cs="Arial"/>
                <w:sz w:val="20"/>
              </w:rPr>
            </w:pPr>
            <w:r w:rsidRPr="00FA34B0">
              <w:rPr>
                <w:rFonts w:cs="Arial"/>
                <w:sz w:val="20"/>
              </w:rPr>
              <w:t xml:space="preserve">The service provider must have a complaints procedure that complies with Local Authority Social Services and National Health Service complaints (England) Regulations 2009. </w:t>
            </w:r>
          </w:p>
          <w:p w14:paraId="6CDED236" w14:textId="77777777" w:rsidR="00012E64" w:rsidRPr="00FA34B0" w:rsidRDefault="00012E64" w:rsidP="00012E64">
            <w:pPr>
              <w:rPr>
                <w:rFonts w:cs="Arial"/>
                <w:sz w:val="20"/>
              </w:rPr>
            </w:pPr>
          </w:p>
          <w:p w14:paraId="207E7B25" w14:textId="77777777" w:rsidR="00012E64" w:rsidRPr="00FA34B0" w:rsidRDefault="00012E64" w:rsidP="00012E64">
            <w:pPr>
              <w:rPr>
                <w:rFonts w:cs="Arial"/>
                <w:sz w:val="20"/>
              </w:rPr>
            </w:pPr>
            <w:r w:rsidRPr="00FA34B0">
              <w:rPr>
                <w:rFonts w:cs="Arial"/>
                <w:sz w:val="20"/>
              </w:rPr>
              <w:lastRenderedPageBreak/>
              <w:t>The service provider should inform clients connected to this service of their right to complain to Halton Borough Council.  Information shall be provided to the client in order for them to access the Council’s complaints procedure.</w:t>
            </w:r>
          </w:p>
          <w:p w14:paraId="3A9065D1" w14:textId="77777777" w:rsidR="00012E64" w:rsidRPr="00FA34B0" w:rsidRDefault="00012E64" w:rsidP="00012E64">
            <w:pPr>
              <w:rPr>
                <w:rFonts w:cs="Arial"/>
                <w:sz w:val="20"/>
              </w:rPr>
            </w:pPr>
          </w:p>
          <w:p w14:paraId="2F46F796" w14:textId="1BF70FD1" w:rsidR="00012E64" w:rsidRPr="00FA34B0" w:rsidRDefault="006223F9" w:rsidP="00012E64">
            <w:pPr>
              <w:rPr>
                <w:rFonts w:cs="Arial"/>
                <w:sz w:val="20"/>
              </w:rPr>
            </w:pPr>
            <w:r w:rsidRPr="00DD4963">
              <w:rPr>
                <w:rFonts w:cs="Arial"/>
                <w:sz w:val="20"/>
              </w:rPr>
              <w:t>Complaints directly linked to this service must be reported to Halton Borough Council</w:t>
            </w:r>
            <w:r>
              <w:rPr>
                <w:rFonts w:cs="Arial"/>
                <w:sz w:val="20"/>
              </w:rPr>
              <w:t xml:space="preserve">. Any complaints must be sent to </w:t>
            </w:r>
            <w:r w:rsidRPr="00522DC4">
              <w:rPr>
                <w:rFonts w:cs="Arial"/>
                <w:sz w:val="20"/>
                <w:u w:val="single"/>
              </w:rPr>
              <w:t>public.health@halton.gov.uk</w:t>
            </w:r>
            <w:r>
              <w:rPr>
                <w:rFonts w:cs="Arial"/>
                <w:sz w:val="20"/>
                <w:u w:val="single"/>
              </w:rPr>
              <w:t>.</w:t>
            </w:r>
            <w:r w:rsidRPr="00522DC4">
              <w:rPr>
                <w:rFonts w:cs="Arial"/>
                <w:sz w:val="20"/>
              </w:rPr>
              <w:t xml:space="preserve"> </w:t>
            </w:r>
            <w:r w:rsidR="00012E64" w:rsidRPr="00FA34B0">
              <w:rPr>
                <w:rFonts w:cs="Arial"/>
                <w:sz w:val="20"/>
              </w:rPr>
              <w:t>The Council reserves the right to directly investigate complaints about the service.  In such cases the pharmacy will co-operate with the investigating officer giving full access to all relevant documents, files and information and will allow them to interview any personal in the pharmacy’s employment or agent in order to carry out their investigation effectively.</w:t>
            </w:r>
          </w:p>
          <w:p w14:paraId="3BA434DB" w14:textId="77777777" w:rsidR="007B6876" w:rsidRPr="00FA34B0" w:rsidRDefault="007B6876">
            <w:pPr>
              <w:rPr>
                <w:rFonts w:cs="Arial"/>
                <w:sz w:val="20"/>
              </w:rPr>
            </w:pPr>
          </w:p>
        </w:tc>
      </w:tr>
      <w:tr w:rsidR="007B6876" w:rsidRPr="00FA34B0" w14:paraId="337E1BD2" w14:textId="77777777" w:rsidTr="006969ED">
        <w:tc>
          <w:tcPr>
            <w:tcW w:w="9016" w:type="dxa"/>
            <w:shd w:val="clear" w:color="auto" w:fill="BFBFBF" w:themeFill="background1" w:themeFillShade="BF"/>
          </w:tcPr>
          <w:p w14:paraId="12FDF3C9" w14:textId="00DFBF98" w:rsidR="007B6876" w:rsidRPr="006969ED" w:rsidRDefault="007B6876">
            <w:pPr>
              <w:rPr>
                <w:rFonts w:cs="Arial"/>
                <w:b/>
                <w:bCs/>
                <w:sz w:val="20"/>
              </w:rPr>
            </w:pPr>
            <w:r w:rsidRPr="006969ED">
              <w:rPr>
                <w:rFonts w:cs="Arial"/>
                <w:b/>
                <w:bCs/>
                <w:sz w:val="20"/>
              </w:rPr>
              <w:lastRenderedPageBreak/>
              <w:t>11. Equality and Diversity</w:t>
            </w:r>
          </w:p>
        </w:tc>
      </w:tr>
      <w:tr w:rsidR="007B6876" w:rsidRPr="00FA34B0" w14:paraId="17544B90" w14:textId="77777777" w:rsidTr="001E2E94">
        <w:tc>
          <w:tcPr>
            <w:tcW w:w="9016" w:type="dxa"/>
          </w:tcPr>
          <w:p w14:paraId="3D91F489" w14:textId="77777777" w:rsidR="000C1E15" w:rsidRPr="00FA34B0" w:rsidRDefault="000C1E15" w:rsidP="000C1E15">
            <w:pPr>
              <w:rPr>
                <w:rFonts w:cs="Arial"/>
                <w:sz w:val="20"/>
              </w:rPr>
            </w:pPr>
            <w:r w:rsidRPr="00FA34B0">
              <w:rPr>
                <w:rFonts w:cs="Arial"/>
                <w:sz w:val="20"/>
              </w:rPr>
              <w:t xml:space="preserve">The service provider must comply with the requirements of the Equality Act 2010, and will not treat one group of people less favourably than others because of their Age, Disability, Gender Reassignment, Marriage and Civil Partnership, Pregnancy and Maternity, Religion and Belief, Sex and/or Sexual Orientation. </w:t>
            </w:r>
          </w:p>
          <w:p w14:paraId="5944D6FA" w14:textId="77777777" w:rsidR="000C1E15" w:rsidRPr="00FA34B0" w:rsidRDefault="000C1E15" w:rsidP="000C1E15">
            <w:pPr>
              <w:rPr>
                <w:rFonts w:cs="Arial"/>
                <w:sz w:val="20"/>
              </w:rPr>
            </w:pPr>
          </w:p>
          <w:p w14:paraId="235F0217" w14:textId="77777777" w:rsidR="000C1E15" w:rsidRPr="00FA34B0" w:rsidRDefault="000C1E15" w:rsidP="000C1E15">
            <w:pPr>
              <w:rPr>
                <w:rFonts w:cs="Arial"/>
                <w:sz w:val="20"/>
              </w:rPr>
            </w:pPr>
            <w:r w:rsidRPr="00FA34B0">
              <w:rPr>
                <w:rFonts w:cs="Arial"/>
                <w:sz w:val="20"/>
              </w:rPr>
              <w:t xml:space="preserve">It is the responsibility of the service provider to make reasonable adjustments to meet the individual needs of their patients.  </w:t>
            </w:r>
          </w:p>
          <w:p w14:paraId="068AD684" w14:textId="77777777" w:rsidR="007B6876" w:rsidRPr="00FA34B0" w:rsidRDefault="007B6876">
            <w:pPr>
              <w:rPr>
                <w:rFonts w:cs="Arial"/>
                <w:sz w:val="20"/>
              </w:rPr>
            </w:pPr>
          </w:p>
        </w:tc>
      </w:tr>
      <w:tr w:rsidR="007B6876" w:rsidRPr="00FA34B0" w14:paraId="13FB7267" w14:textId="77777777" w:rsidTr="006969ED">
        <w:tc>
          <w:tcPr>
            <w:tcW w:w="9016" w:type="dxa"/>
            <w:shd w:val="clear" w:color="auto" w:fill="BFBFBF" w:themeFill="background1" w:themeFillShade="BF"/>
          </w:tcPr>
          <w:p w14:paraId="7CB3ACDC" w14:textId="7F53A84E" w:rsidR="007B6876" w:rsidRPr="006969ED" w:rsidRDefault="007B6876">
            <w:pPr>
              <w:rPr>
                <w:rFonts w:cs="Arial"/>
                <w:b/>
                <w:bCs/>
                <w:sz w:val="20"/>
              </w:rPr>
            </w:pPr>
            <w:r w:rsidRPr="006969ED">
              <w:rPr>
                <w:rFonts w:cs="Arial"/>
                <w:b/>
                <w:bCs/>
                <w:sz w:val="20"/>
              </w:rPr>
              <w:t>12. Health and Safety</w:t>
            </w:r>
          </w:p>
        </w:tc>
      </w:tr>
      <w:tr w:rsidR="007B6876" w:rsidRPr="00FA34B0" w14:paraId="6BD05A9C" w14:textId="77777777" w:rsidTr="001E2E94">
        <w:tc>
          <w:tcPr>
            <w:tcW w:w="9016" w:type="dxa"/>
          </w:tcPr>
          <w:p w14:paraId="7C299D1C" w14:textId="77777777" w:rsidR="0076611D" w:rsidRPr="00FA34B0" w:rsidRDefault="0076611D" w:rsidP="0076611D">
            <w:pPr>
              <w:rPr>
                <w:rFonts w:cs="Arial"/>
                <w:sz w:val="20"/>
              </w:rPr>
            </w:pPr>
            <w:r w:rsidRPr="00FA34B0">
              <w:rPr>
                <w:rFonts w:cs="Arial"/>
                <w:sz w:val="20"/>
              </w:rPr>
              <w:t>The service provider shall comply with the requirements of the Health and Safety at Work Act 1974, the management of health and safety at work regulations 1999 and any other acts, regulation, orders or rules of law pertaining to health and safety.</w:t>
            </w:r>
          </w:p>
          <w:p w14:paraId="5105EFE1" w14:textId="77777777" w:rsidR="007B6876" w:rsidRPr="00FA34B0" w:rsidRDefault="007B6876">
            <w:pPr>
              <w:rPr>
                <w:rFonts w:cs="Arial"/>
                <w:sz w:val="20"/>
              </w:rPr>
            </w:pPr>
          </w:p>
        </w:tc>
      </w:tr>
      <w:tr w:rsidR="007B6876" w:rsidRPr="00FA34B0" w14:paraId="2F44DFA2" w14:textId="77777777" w:rsidTr="006969ED">
        <w:tc>
          <w:tcPr>
            <w:tcW w:w="9016" w:type="dxa"/>
            <w:shd w:val="clear" w:color="auto" w:fill="BFBFBF" w:themeFill="background1" w:themeFillShade="BF"/>
          </w:tcPr>
          <w:p w14:paraId="21BEC97F" w14:textId="30B840C4" w:rsidR="007B6876" w:rsidRPr="006969ED" w:rsidRDefault="007B6876">
            <w:pPr>
              <w:rPr>
                <w:rFonts w:cs="Arial"/>
                <w:b/>
                <w:bCs/>
                <w:sz w:val="20"/>
              </w:rPr>
            </w:pPr>
            <w:r w:rsidRPr="006969ED">
              <w:rPr>
                <w:rFonts w:cs="Arial"/>
                <w:b/>
                <w:bCs/>
                <w:sz w:val="20"/>
              </w:rPr>
              <w:t>13. Freedom of Information</w:t>
            </w:r>
          </w:p>
        </w:tc>
      </w:tr>
      <w:tr w:rsidR="007B6876" w:rsidRPr="00FA34B0" w14:paraId="68862D03" w14:textId="77777777" w:rsidTr="001E2E94">
        <w:tc>
          <w:tcPr>
            <w:tcW w:w="9016" w:type="dxa"/>
          </w:tcPr>
          <w:p w14:paraId="6205C314" w14:textId="77777777" w:rsidR="00CF19F9" w:rsidRPr="00FA34B0" w:rsidRDefault="00CF19F9" w:rsidP="00CF19F9">
            <w:pPr>
              <w:rPr>
                <w:rFonts w:cs="Arial"/>
                <w:sz w:val="20"/>
              </w:rPr>
            </w:pPr>
            <w:r w:rsidRPr="00FA34B0">
              <w:rPr>
                <w:rFonts w:cs="Arial"/>
                <w:sz w:val="20"/>
              </w:rPr>
              <w:t xml:space="preserve">The commissioner and the commissioned service provider recognize that this service specification and/or associated recorded information may be subject to Freedom of Information Requests (FOI). Each party shall comply with any such Freedom of Information requests received, in accordance with the Freedom of Information Act 2000 legal obligations. </w:t>
            </w:r>
          </w:p>
          <w:p w14:paraId="0F206317" w14:textId="77777777" w:rsidR="007B6876" w:rsidRPr="00FA34B0" w:rsidRDefault="007B6876">
            <w:pPr>
              <w:rPr>
                <w:rFonts w:cs="Arial"/>
                <w:sz w:val="20"/>
              </w:rPr>
            </w:pPr>
          </w:p>
        </w:tc>
      </w:tr>
      <w:tr w:rsidR="007B6876" w:rsidRPr="00FA34B0" w14:paraId="2E3A355F" w14:textId="77777777" w:rsidTr="006969ED">
        <w:tc>
          <w:tcPr>
            <w:tcW w:w="9016" w:type="dxa"/>
            <w:shd w:val="clear" w:color="auto" w:fill="BFBFBF" w:themeFill="background1" w:themeFillShade="BF"/>
          </w:tcPr>
          <w:p w14:paraId="01D6F323" w14:textId="65473038" w:rsidR="007B6876" w:rsidRPr="006969ED" w:rsidRDefault="007B6876">
            <w:pPr>
              <w:rPr>
                <w:rFonts w:cs="Arial"/>
                <w:b/>
                <w:bCs/>
                <w:sz w:val="20"/>
              </w:rPr>
            </w:pPr>
            <w:r w:rsidRPr="006969ED">
              <w:rPr>
                <w:rFonts w:cs="Arial"/>
                <w:b/>
                <w:bCs/>
                <w:sz w:val="20"/>
              </w:rPr>
              <w:t>14. Required Insurances</w:t>
            </w:r>
          </w:p>
        </w:tc>
      </w:tr>
      <w:tr w:rsidR="00BA0396" w:rsidRPr="00FA34B0" w14:paraId="751A102F" w14:textId="77777777" w:rsidTr="001E2E94">
        <w:tc>
          <w:tcPr>
            <w:tcW w:w="9016" w:type="dxa"/>
          </w:tcPr>
          <w:p w14:paraId="2BB05A7D" w14:textId="77777777" w:rsidR="00A47E72" w:rsidRDefault="00A47E72" w:rsidP="00A47E72">
            <w:pPr>
              <w:numPr>
                <w:ilvl w:val="0"/>
                <w:numId w:val="17"/>
              </w:numPr>
              <w:suppressAutoHyphens w:val="0"/>
              <w:spacing w:line="276" w:lineRule="auto"/>
              <w:rPr>
                <w:rFonts w:cs="Arial"/>
                <w:sz w:val="20"/>
              </w:rPr>
            </w:pPr>
            <w:r>
              <w:rPr>
                <w:sz w:val="20"/>
              </w:rPr>
              <w:t>Employers Liability - £10m minimum</w:t>
            </w:r>
          </w:p>
          <w:p w14:paraId="278C24EF" w14:textId="77777777" w:rsidR="00A47E72" w:rsidRDefault="00A47E72" w:rsidP="00A47E72">
            <w:pPr>
              <w:numPr>
                <w:ilvl w:val="0"/>
                <w:numId w:val="17"/>
              </w:numPr>
              <w:suppressAutoHyphens w:val="0"/>
              <w:spacing w:line="276" w:lineRule="auto"/>
              <w:rPr>
                <w:rFonts w:ascii="Calibri" w:hAnsi="Calibri" w:cs="Calibri"/>
                <w:sz w:val="20"/>
                <w14:ligatures w14:val="standardContextual"/>
              </w:rPr>
            </w:pPr>
            <w:r>
              <w:rPr>
                <w:sz w:val="20"/>
              </w:rPr>
              <w:t>Public Liability - £5m minimum</w:t>
            </w:r>
          </w:p>
          <w:p w14:paraId="62DEEFBF" w14:textId="77777777" w:rsidR="00F828A2" w:rsidRPr="000C6FE1" w:rsidRDefault="00A47E72" w:rsidP="000C6FE1">
            <w:pPr>
              <w:pStyle w:val="ListParagraph"/>
              <w:numPr>
                <w:ilvl w:val="0"/>
                <w:numId w:val="17"/>
              </w:numPr>
              <w:suppressAutoHyphens w:val="0"/>
              <w:contextualSpacing w:val="0"/>
              <w:jc w:val="left"/>
              <w:rPr>
                <w:sz w:val="22"/>
                <w:szCs w:val="22"/>
                <w:lang w:eastAsia="en-GB"/>
              </w:rPr>
            </w:pPr>
            <w:r>
              <w:rPr>
                <w:sz w:val="20"/>
              </w:rPr>
              <w:t>Professional Indemnity - £5m minimum</w:t>
            </w:r>
            <w:r>
              <w:rPr>
                <w:lang w:eastAsia="en-GB"/>
              </w:rPr>
              <w:t xml:space="preserve"> </w:t>
            </w:r>
          </w:p>
          <w:p w14:paraId="62FBE8AD" w14:textId="49083C53" w:rsidR="000C6FE1" w:rsidRPr="000C6FE1" w:rsidRDefault="000C6FE1" w:rsidP="000C6FE1">
            <w:pPr>
              <w:pStyle w:val="ListParagraph"/>
              <w:suppressAutoHyphens w:val="0"/>
              <w:contextualSpacing w:val="0"/>
              <w:jc w:val="left"/>
              <w:rPr>
                <w:sz w:val="22"/>
                <w:szCs w:val="22"/>
                <w:lang w:eastAsia="en-GB"/>
              </w:rPr>
            </w:pPr>
          </w:p>
        </w:tc>
      </w:tr>
      <w:tr w:rsidR="007B6876" w:rsidRPr="00FA34B0" w14:paraId="1C8CA53B" w14:textId="77777777" w:rsidTr="006969ED">
        <w:tc>
          <w:tcPr>
            <w:tcW w:w="9016" w:type="dxa"/>
            <w:shd w:val="clear" w:color="auto" w:fill="BFBFBF" w:themeFill="background1" w:themeFillShade="BF"/>
          </w:tcPr>
          <w:p w14:paraId="4563B111" w14:textId="4E1C687C" w:rsidR="007B6876" w:rsidRPr="006969ED" w:rsidRDefault="007B6876">
            <w:pPr>
              <w:rPr>
                <w:rFonts w:cs="Arial"/>
                <w:b/>
                <w:bCs/>
                <w:sz w:val="20"/>
              </w:rPr>
            </w:pPr>
            <w:r w:rsidRPr="006969ED">
              <w:rPr>
                <w:rFonts w:cs="Arial"/>
                <w:b/>
                <w:bCs/>
                <w:sz w:val="20"/>
              </w:rPr>
              <w:t>15. Data Requirements and Record Keeping</w:t>
            </w:r>
          </w:p>
        </w:tc>
      </w:tr>
      <w:tr w:rsidR="007B6876" w:rsidRPr="00FA34B0" w14:paraId="121409E0" w14:textId="77777777" w:rsidTr="001E2E94">
        <w:tc>
          <w:tcPr>
            <w:tcW w:w="9016" w:type="dxa"/>
          </w:tcPr>
          <w:p w14:paraId="329C9431" w14:textId="77777777" w:rsidR="00C1569E" w:rsidRPr="00FA34B0" w:rsidRDefault="00C1569E" w:rsidP="00C1569E">
            <w:pPr>
              <w:contextualSpacing/>
              <w:rPr>
                <w:rFonts w:cs="Arial"/>
                <w:sz w:val="20"/>
              </w:rPr>
            </w:pPr>
            <w:r w:rsidRPr="00FA34B0">
              <w:rPr>
                <w:rFonts w:cs="Arial"/>
                <w:sz w:val="20"/>
              </w:rPr>
              <w:t>The provider will be responsible for maintaining records for the period of time required by data protection legislation.</w:t>
            </w:r>
          </w:p>
          <w:p w14:paraId="3BEDE0CF" w14:textId="77777777" w:rsidR="00C1569E" w:rsidRPr="00FA34B0" w:rsidRDefault="00C1569E" w:rsidP="00C1569E">
            <w:pPr>
              <w:contextualSpacing/>
              <w:rPr>
                <w:rFonts w:cs="Arial"/>
                <w:sz w:val="20"/>
              </w:rPr>
            </w:pPr>
          </w:p>
          <w:p w14:paraId="2FD64A34" w14:textId="77777777" w:rsidR="00C1569E" w:rsidRPr="00FA34B0" w:rsidRDefault="00C1569E" w:rsidP="00C1569E">
            <w:pPr>
              <w:contextualSpacing/>
              <w:rPr>
                <w:rFonts w:cs="Arial"/>
                <w:sz w:val="20"/>
              </w:rPr>
            </w:pPr>
            <w:r w:rsidRPr="00FA34B0">
              <w:rPr>
                <w:rFonts w:cs="Arial"/>
                <w:sz w:val="20"/>
              </w:rPr>
              <w:t>Personal data must be protected in accordance with the provisions and principles of the Data Protection Act 2018.</w:t>
            </w:r>
          </w:p>
          <w:p w14:paraId="4AE98109" w14:textId="77777777" w:rsidR="00C1569E" w:rsidRPr="00FA34B0" w:rsidRDefault="00C1569E" w:rsidP="00C1569E">
            <w:pPr>
              <w:rPr>
                <w:rFonts w:cs="Arial"/>
                <w:sz w:val="20"/>
              </w:rPr>
            </w:pPr>
          </w:p>
          <w:p w14:paraId="7B080F6E" w14:textId="77777777" w:rsidR="00C1569E" w:rsidRPr="00FA34B0" w:rsidRDefault="00C1569E" w:rsidP="00C1569E">
            <w:pPr>
              <w:rPr>
                <w:rFonts w:cs="Arial"/>
                <w:sz w:val="20"/>
              </w:rPr>
            </w:pPr>
            <w:r w:rsidRPr="00FA34B0">
              <w:rPr>
                <w:rFonts w:cs="Arial"/>
                <w:sz w:val="20"/>
              </w:rPr>
              <w:t>The service provider must keep all records for a minimum period of 8 years.  If the person is aged up to 16 records are required to be kept until their 25th birthday or eight years after death in line with NHS health records retention policies.</w:t>
            </w:r>
          </w:p>
          <w:p w14:paraId="7F44F501" w14:textId="77777777" w:rsidR="00C1569E" w:rsidRPr="00FA34B0" w:rsidRDefault="00C1569E" w:rsidP="00C1569E">
            <w:pPr>
              <w:rPr>
                <w:rFonts w:cs="Arial"/>
                <w:sz w:val="20"/>
              </w:rPr>
            </w:pPr>
          </w:p>
          <w:p w14:paraId="137825EC" w14:textId="77777777" w:rsidR="00C1569E" w:rsidRPr="00FA34B0" w:rsidRDefault="00C1569E" w:rsidP="00C1569E">
            <w:pPr>
              <w:rPr>
                <w:rFonts w:cs="Arial"/>
                <w:sz w:val="20"/>
              </w:rPr>
            </w:pPr>
            <w:r w:rsidRPr="00FA34B0">
              <w:rPr>
                <w:rFonts w:cs="Arial"/>
                <w:sz w:val="20"/>
              </w:rPr>
              <w:t>Records for clients who are pregnant or breastfeeding must be kept for 25 years.</w:t>
            </w:r>
          </w:p>
          <w:p w14:paraId="03537A46" w14:textId="77777777" w:rsidR="00C1569E" w:rsidRPr="00FA34B0" w:rsidRDefault="00C1569E" w:rsidP="00C1569E">
            <w:pPr>
              <w:rPr>
                <w:rFonts w:cs="Arial"/>
                <w:sz w:val="20"/>
              </w:rPr>
            </w:pPr>
          </w:p>
          <w:p w14:paraId="34867100" w14:textId="77777777" w:rsidR="00C1569E" w:rsidRPr="00FA34B0" w:rsidRDefault="00C1569E" w:rsidP="00C1569E">
            <w:pPr>
              <w:contextualSpacing/>
              <w:rPr>
                <w:rFonts w:cs="Arial"/>
                <w:sz w:val="20"/>
              </w:rPr>
            </w:pPr>
            <w:r w:rsidRPr="00FA34B0">
              <w:rPr>
                <w:rFonts w:cs="Arial"/>
                <w:sz w:val="20"/>
              </w:rPr>
              <w:t xml:space="preserve">Electronic records must also be kept and available for this period. </w:t>
            </w:r>
          </w:p>
          <w:p w14:paraId="24A9CEDE" w14:textId="77777777" w:rsidR="00C1569E" w:rsidRPr="00FA34B0" w:rsidRDefault="00C1569E" w:rsidP="00C1569E">
            <w:pPr>
              <w:contextualSpacing/>
              <w:rPr>
                <w:rFonts w:cs="Arial"/>
                <w:sz w:val="20"/>
              </w:rPr>
            </w:pPr>
          </w:p>
          <w:p w14:paraId="2171D82B" w14:textId="77777777" w:rsidR="00C1569E" w:rsidRPr="00FA34B0" w:rsidRDefault="00C1569E" w:rsidP="00C1569E">
            <w:pPr>
              <w:contextualSpacing/>
              <w:rPr>
                <w:rFonts w:cs="Arial"/>
                <w:sz w:val="20"/>
              </w:rPr>
            </w:pPr>
            <w:r w:rsidRPr="00FA34B0">
              <w:rPr>
                <w:rFonts w:cs="Arial"/>
                <w:sz w:val="20"/>
              </w:rPr>
              <w:t>Records will be kept by the service provider in a secure and confidential manner. Records must be destroyed in a confidential manner.</w:t>
            </w:r>
          </w:p>
          <w:p w14:paraId="277EA1F8" w14:textId="77777777" w:rsidR="00C1569E" w:rsidRPr="00FA34B0" w:rsidRDefault="00C1569E" w:rsidP="00C1569E">
            <w:pPr>
              <w:ind w:left="644"/>
              <w:contextualSpacing/>
              <w:rPr>
                <w:rFonts w:cs="Arial"/>
                <w:sz w:val="20"/>
              </w:rPr>
            </w:pPr>
          </w:p>
          <w:p w14:paraId="40187159" w14:textId="77777777" w:rsidR="00C1569E" w:rsidRPr="00FA34B0" w:rsidRDefault="00C1569E" w:rsidP="00C1569E">
            <w:pPr>
              <w:contextualSpacing/>
              <w:rPr>
                <w:rFonts w:cs="Arial"/>
                <w:sz w:val="20"/>
              </w:rPr>
            </w:pPr>
            <w:r w:rsidRPr="00FA34B0">
              <w:rPr>
                <w:rFonts w:cs="Arial"/>
                <w:sz w:val="20"/>
              </w:rPr>
              <w:t>The consultation should be recorded in the client’s pharmacy PMR record.</w:t>
            </w:r>
          </w:p>
          <w:p w14:paraId="04C13D66" w14:textId="77777777" w:rsidR="00C1569E" w:rsidRPr="00FA34B0" w:rsidRDefault="00C1569E" w:rsidP="00C1569E">
            <w:pPr>
              <w:contextualSpacing/>
              <w:rPr>
                <w:rFonts w:cs="Arial"/>
                <w:sz w:val="20"/>
              </w:rPr>
            </w:pPr>
          </w:p>
          <w:p w14:paraId="045D3246" w14:textId="77777777" w:rsidR="00C1569E" w:rsidRPr="00FA34B0" w:rsidRDefault="00C1569E" w:rsidP="00C1569E">
            <w:pPr>
              <w:contextualSpacing/>
              <w:rPr>
                <w:rFonts w:cs="Arial"/>
                <w:sz w:val="20"/>
              </w:rPr>
            </w:pPr>
            <w:r w:rsidRPr="00FA34B0">
              <w:rPr>
                <w:rFonts w:cs="Arial"/>
                <w:sz w:val="20"/>
              </w:rPr>
              <w:t>Records maintained in association with this service must be made available to Halton BC on request for audit and verification purposes.</w:t>
            </w:r>
          </w:p>
          <w:p w14:paraId="17397396" w14:textId="77777777" w:rsidR="007B6876" w:rsidRPr="00FA34B0" w:rsidRDefault="007B6876">
            <w:pPr>
              <w:rPr>
                <w:rFonts w:cs="Arial"/>
                <w:sz w:val="20"/>
              </w:rPr>
            </w:pPr>
          </w:p>
        </w:tc>
      </w:tr>
      <w:tr w:rsidR="007B6876" w:rsidRPr="00FA34B0" w14:paraId="6787B9FF" w14:textId="77777777" w:rsidTr="006969ED">
        <w:tc>
          <w:tcPr>
            <w:tcW w:w="9016" w:type="dxa"/>
            <w:shd w:val="clear" w:color="auto" w:fill="BFBFBF" w:themeFill="background1" w:themeFillShade="BF"/>
          </w:tcPr>
          <w:p w14:paraId="15C5FD01" w14:textId="7B76F972" w:rsidR="007B6876" w:rsidRPr="006969ED" w:rsidRDefault="007B6876">
            <w:pPr>
              <w:rPr>
                <w:rFonts w:cs="Arial"/>
                <w:b/>
                <w:bCs/>
                <w:sz w:val="20"/>
              </w:rPr>
            </w:pPr>
            <w:r w:rsidRPr="006969ED">
              <w:rPr>
                <w:rFonts w:cs="Arial"/>
                <w:b/>
                <w:bCs/>
                <w:sz w:val="20"/>
              </w:rPr>
              <w:lastRenderedPageBreak/>
              <w:t xml:space="preserve">16. </w:t>
            </w:r>
            <w:r w:rsidR="007755F9" w:rsidRPr="006969ED">
              <w:rPr>
                <w:rFonts w:cs="Arial"/>
                <w:b/>
                <w:bCs/>
                <w:sz w:val="20"/>
              </w:rPr>
              <w:t>Performance</w:t>
            </w:r>
            <w:r w:rsidR="002A0390" w:rsidRPr="006969ED">
              <w:rPr>
                <w:rFonts w:cs="Arial"/>
                <w:b/>
                <w:bCs/>
                <w:sz w:val="20"/>
              </w:rPr>
              <w:t xml:space="preserve"> Monitoring</w:t>
            </w:r>
          </w:p>
        </w:tc>
      </w:tr>
      <w:tr w:rsidR="007B6876" w:rsidRPr="00FA34B0" w14:paraId="6737E841" w14:textId="77777777" w:rsidTr="001E2E94">
        <w:tc>
          <w:tcPr>
            <w:tcW w:w="9016" w:type="dxa"/>
          </w:tcPr>
          <w:p w14:paraId="5E6BB9D4" w14:textId="77777777" w:rsidR="00300D0C" w:rsidRPr="00FA34B0" w:rsidRDefault="00300D0C" w:rsidP="00300D0C">
            <w:pPr>
              <w:contextualSpacing/>
              <w:rPr>
                <w:rFonts w:cs="Arial"/>
                <w:sz w:val="20"/>
              </w:rPr>
            </w:pPr>
            <w:r w:rsidRPr="00FA34B0">
              <w:rPr>
                <w:rFonts w:cs="Arial"/>
                <w:sz w:val="20"/>
              </w:rPr>
              <w:t xml:space="preserve">The service provider will have an NHS dispensing contract with NHS England and must fully comply with the National Pharmacy Contract regulations for delivery of Essential Services. </w:t>
            </w:r>
          </w:p>
          <w:p w14:paraId="65C4DA72" w14:textId="77777777" w:rsidR="00300D0C" w:rsidRPr="00FA34B0" w:rsidRDefault="00300D0C" w:rsidP="00300D0C">
            <w:pPr>
              <w:contextualSpacing/>
              <w:rPr>
                <w:rFonts w:cs="Arial"/>
                <w:sz w:val="20"/>
              </w:rPr>
            </w:pPr>
          </w:p>
          <w:p w14:paraId="4BFD3ED9" w14:textId="71703732" w:rsidR="00300D0C" w:rsidRPr="00FA34B0" w:rsidRDefault="00300D0C" w:rsidP="00300D0C">
            <w:pPr>
              <w:contextualSpacing/>
              <w:rPr>
                <w:rFonts w:cs="Arial"/>
                <w:sz w:val="20"/>
              </w:rPr>
            </w:pPr>
            <w:r w:rsidRPr="00FA34B0">
              <w:rPr>
                <w:rFonts w:cs="Arial"/>
                <w:sz w:val="20"/>
              </w:rPr>
              <w:t xml:space="preserve">Halton Borough Council retains the right to audit any part of the service provided by the service provider or the accredited pharmacist at any time to ensure continued quality. </w:t>
            </w:r>
            <w:r w:rsidR="00CF6849">
              <w:rPr>
                <w:rFonts w:cs="Arial"/>
                <w:sz w:val="20"/>
              </w:rPr>
              <w:t xml:space="preserve">Halton Borough Council will </w:t>
            </w:r>
            <w:r w:rsidR="00A1650F">
              <w:rPr>
                <w:rFonts w:cs="Arial"/>
                <w:sz w:val="20"/>
              </w:rPr>
              <w:t>ensure the service provider is advised of this prior to taking place.</w:t>
            </w:r>
            <w:r w:rsidR="00CF6849">
              <w:rPr>
                <w:rFonts w:cs="Arial"/>
                <w:sz w:val="20"/>
              </w:rPr>
              <w:t xml:space="preserve"> </w:t>
            </w:r>
          </w:p>
          <w:p w14:paraId="4D60F933" w14:textId="77777777" w:rsidR="00300D0C" w:rsidRPr="00FA34B0" w:rsidRDefault="00300D0C" w:rsidP="00300D0C">
            <w:pPr>
              <w:contextualSpacing/>
              <w:rPr>
                <w:rFonts w:cs="Arial"/>
                <w:sz w:val="20"/>
              </w:rPr>
            </w:pPr>
          </w:p>
          <w:p w14:paraId="1C4508B9" w14:textId="77777777" w:rsidR="00300D0C" w:rsidRPr="00FA34B0" w:rsidRDefault="00300D0C" w:rsidP="00300D0C">
            <w:pPr>
              <w:contextualSpacing/>
              <w:rPr>
                <w:rFonts w:cs="Arial"/>
                <w:sz w:val="20"/>
              </w:rPr>
            </w:pPr>
            <w:r w:rsidRPr="00FA34B0">
              <w:rPr>
                <w:rFonts w:cs="Arial"/>
                <w:sz w:val="20"/>
              </w:rPr>
              <w:t>Halton Borough Council reserves the right to ask for evidence from the service provider that it is following the procedures outlined in this specification.</w:t>
            </w:r>
          </w:p>
          <w:p w14:paraId="1F6C69F7" w14:textId="77777777" w:rsidR="00300D0C" w:rsidRPr="00FA34B0" w:rsidRDefault="00300D0C" w:rsidP="00300D0C">
            <w:pPr>
              <w:contextualSpacing/>
              <w:rPr>
                <w:rFonts w:cs="Arial"/>
                <w:sz w:val="20"/>
              </w:rPr>
            </w:pPr>
          </w:p>
          <w:p w14:paraId="1D29EA85" w14:textId="43A551A0" w:rsidR="00300D0C" w:rsidRPr="00FA34B0" w:rsidRDefault="00300D0C" w:rsidP="00300D0C">
            <w:pPr>
              <w:contextualSpacing/>
              <w:rPr>
                <w:rFonts w:cs="Arial"/>
                <w:sz w:val="20"/>
              </w:rPr>
            </w:pPr>
            <w:r w:rsidRPr="00FA34B0">
              <w:rPr>
                <w:rFonts w:cs="Arial"/>
                <w:sz w:val="20"/>
              </w:rPr>
              <w:t>The service provider will co-operate with any Halton Borough Council led assessment of service user experience or audit of the service in order to evaluate service provision and identify areas for service improvement.</w:t>
            </w:r>
          </w:p>
          <w:p w14:paraId="6C16B639" w14:textId="77777777" w:rsidR="00300D0C" w:rsidRPr="00FA34B0" w:rsidRDefault="00300D0C" w:rsidP="00300D0C">
            <w:pPr>
              <w:contextualSpacing/>
              <w:rPr>
                <w:rFonts w:cs="Arial"/>
                <w:sz w:val="20"/>
              </w:rPr>
            </w:pPr>
          </w:p>
          <w:p w14:paraId="3E59949B" w14:textId="77777777" w:rsidR="00300D0C" w:rsidRPr="00FA34B0" w:rsidRDefault="00300D0C" w:rsidP="00300D0C">
            <w:pPr>
              <w:contextualSpacing/>
              <w:rPr>
                <w:rFonts w:cs="Arial"/>
                <w:sz w:val="20"/>
              </w:rPr>
            </w:pPr>
            <w:r w:rsidRPr="00FA34B0">
              <w:rPr>
                <w:rFonts w:cs="Arial"/>
                <w:sz w:val="20"/>
              </w:rPr>
              <w:t xml:space="preserve">Halton Borough Council reserves the right to evaluate other health professionals’ perception of the overall quality of the service. </w:t>
            </w:r>
          </w:p>
          <w:p w14:paraId="0DA6C75E" w14:textId="406C209F" w:rsidR="00300D0C" w:rsidRPr="00FA34B0" w:rsidRDefault="0026633C" w:rsidP="0026633C">
            <w:pPr>
              <w:tabs>
                <w:tab w:val="left" w:pos="5670"/>
              </w:tabs>
              <w:contextualSpacing/>
              <w:rPr>
                <w:rFonts w:cs="Arial"/>
                <w:sz w:val="20"/>
              </w:rPr>
            </w:pPr>
            <w:r>
              <w:rPr>
                <w:rFonts w:cs="Arial"/>
                <w:sz w:val="20"/>
              </w:rPr>
              <w:tab/>
            </w:r>
          </w:p>
          <w:p w14:paraId="523B1872" w14:textId="5BA7D907" w:rsidR="00300D0C" w:rsidRPr="00FA34B0" w:rsidRDefault="00300D0C" w:rsidP="00300D0C">
            <w:pPr>
              <w:contextualSpacing/>
              <w:rPr>
                <w:rFonts w:cs="Arial"/>
                <w:sz w:val="20"/>
              </w:rPr>
            </w:pPr>
            <w:r w:rsidRPr="00FA34B0">
              <w:rPr>
                <w:rFonts w:cs="Arial"/>
                <w:sz w:val="20"/>
              </w:rPr>
              <w:t>Changes to the level or quality of the service will not be introduced without prior agreement with Halton Borough Council.  Changes will be authorised in writing.</w:t>
            </w:r>
            <w:r w:rsidR="007642E7">
              <w:rPr>
                <w:rFonts w:cs="Arial"/>
                <w:sz w:val="20"/>
              </w:rPr>
              <w:t xml:space="preserve"> This will be mutually agreed in advance with the service provider.</w:t>
            </w:r>
          </w:p>
          <w:p w14:paraId="7D0FEE5A" w14:textId="77777777" w:rsidR="007B6876" w:rsidRPr="00FA34B0" w:rsidRDefault="007B6876">
            <w:pPr>
              <w:rPr>
                <w:rFonts w:cs="Arial"/>
                <w:sz w:val="20"/>
              </w:rPr>
            </w:pPr>
          </w:p>
        </w:tc>
      </w:tr>
      <w:tr w:rsidR="007755F9" w:rsidRPr="00FA34B0" w14:paraId="23A60F79" w14:textId="77777777" w:rsidTr="006969ED">
        <w:tc>
          <w:tcPr>
            <w:tcW w:w="9016" w:type="dxa"/>
            <w:shd w:val="clear" w:color="auto" w:fill="BFBFBF" w:themeFill="background1" w:themeFillShade="BF"/>
          </w:tcPr>
          <w:p w14:paraId="25DCD362" w14:textId="231A22FF" w:rsidR="007755F9" w:rsidRPr="006969ED" w:rsidRDefault="007755F9">
            <w:pPr>
              <w:rPr>
                <w:rFonts w:cs="Arial"/>
                <w:b/>
                <w:bCs/>
                <w:sz w:val="20"/>
              </w:rPr>
            </w:pPr>
            <w:r w:rsidRPr="006969ED">
              <w:rPr>
                <w:rFonts w:cs="Arial"/>
                <w:b/>
                <w:bCs/>
                <w:sz w:val="20"/>
              </w:rPr>
              <w:t>17. Fees for Providing the Service</w:t>
            </w:r>
          </w:p>
        </w:tc>
      </w:tr>
      <w:tr w:rsidR="007755F9" w:rsidRPr="00FA34B0" w14:paraId="0548AED1" w14:textId="77777777" w:rsidTr="001E2E94">
        <w:tc>
          <w:tcPr>
            <w:tcW w:w="9016" w:type="dxa"/>
          </w:tcPr>
          <w:p w14:paraId="6D6B0AB7" w14:textId="77777777" w:rsidR="007755F9" w:rsidRPr="00CE4201" w:rsidRDefault="007755F9">
            <w:pPr>
              <w:rPr>
                <w:rFonts w:cs="Arial"/>
                <w:b/>
                <w:bCs/>
                <w:sz w:val="20"/>
              </w:rPr>
            </w:pPr>
            <w:r w:rsidRPr="00CE4201">
              <w:rPr>
                <w:rFonts w:cs="Arial"/>
                <w:b/>
                <w:bCs/>
                <w:sz w:val="20"/>
              </w:rPr>
              <w:t>17.1 Fees</w:t>
            </w:r>
          </w:p>
          <w:p w14:paraId="5F996FDB" w14:textId="11BC6F7A" w:rsidR="00C35967" w:rsidRPr="00F97950" w:rsidRDefault="006338B7" w:rsidP="007C0D98">
            <w:pPr>
              <w:pStyle w:val="paragraph"/>
              <w:spacing w:before="0" w:beforeAutospacing="0" w:after="0" w:afterAutospacing="0"/>
              <w:ind w:right="390"/>
              <w:jc w:val="both"/>
              <w:textAlignment w:val="baseline"/>
              <w:rPr>
                <w:rStyle w:val="eop"/>
                <w:rFonts w:ascii="Arial" w:hAnsi="Arial" w:cs="Arial"/>
                <w:sz w:val="20"/>
                <w:szCs w:val="20"/>
              </w:rPr>
            </w:pPr>
            <w:r w:rsidRPr="00F97950">
              <w:rPr>
                <w:rStyle w:val="eop"/>
                <w:rFonts w:ascii="Arial" w:hAnsi="Arial" w:cs="Arial"/>
                <w:sz w:val="20"/>
                <w:szCs w:val="20"/>
              </w:rPr>
              <w:t xml:space="preserve">A fee will be made for each client </w:t>
            </w:r>
            <w:r w:rsidR="007318C9" w:rsidRPr="00F97950">
              <w:rPr>
                <w:rStyle w:val="eop"/>
                <w:rFonts w:ascii="Arial" w:hAnsi="Arial" w:cs="Arial"/>
                <w:sz w:val="20"/>
                <w:szCs w:val="20"/>
              </w:rPr>
              <w:t>signed up to the Intermediate Service</w:t>
            </w:r>
          </w:p>
          <w:p w14:paraId="6C99BD08" w14:textId="77777777" w:rsidR="00C35967" w:rsidRPr="00F97950" w:rsidRDefault="00C35967" w:rsidP="007C0D98">
            <w:pPr>
              <w:pStyle w:val="paragraph"/>
              <w:spacing w:before="0" w:beforeAutospacing="0" w:after="0" w:afterAutospacing="0"/>
              <w:ind w:right="390"/>
              <w:jc w:val="both"/>
              <w:textAlignment w:val="baseline"/>
              <w:rPr>
                <w:rStyle w:val="eop"/>
                <w:rFonts w:ascii="Arial" w:hAnsi="Arial" w:cs="Arial"/>
                <w:sz w:val="20"/>
                <w:szCs w:val="20"/>
              </w:rPr>
            </w:pPr>
          </w:p>
          <w:p w14:paraId="3B482C08" w14:textId="77777777" w:rsidR="00C35967" w:rsidRPr="00F97950" w:rsidRDefault="00C35967" w:rsidP="007C0D98">
            <w:pPr>
              <w:pStyle w:val="paragraph"/>
              <w:spacing w:before="0" w:beforeAutospacing="0" w:after="0" w:afterAutospacing="0"/>
              <w:ind w:right="390"/>
              <w:jc w:val="both"/>
              <w:textAlignment w:val="baseline"/>
              <w:rPr>
                <w:rStyle w:val="eop"/>
                <w:rFonts w:ascii="Arial" w:hAnsi="Arial" w:cs="Arial"/>
                <w:sz w:val="20"/>
                <w:szCs w:val="20"/>
              </w:rPr>
            </w:pPr>
            <w:r w:rsidRPr="00F97950">
              <w:rPr>
                <w:rStyle w:val="eop"/>
                <w:rFonts w:ascii="Arial" w:hAnsi="Arial" w:cs="Arial"/>
                <w:sz w:val="20"/>
                <w:szCs w:val="20"/>
              </w:rPr>
              <w:t>Each pharmacy contracted to provide this service will receive:</w:t>
            </w:r>
          </w:p>
          <w:p w14:paraId="69F3DDA2" w14:textId="6B2D133E" w:rsidR="007C0D98" w:rsidRPr="00F97950" w:rsidRDefault="007C0D98" w:rsidP="007C0D98">
            <w:pPr>
              <w:pStyle w:val="paragraph"/>
              <w:spacing w:before="0" w:beforeAutospacing="0" w:after="0" w:afterAutospacing="0"/>
              <w:ind w:right="390"/>
              <w:jc w:val="both"/>
              <w:textAlignment w:val="baseline"/>
              <w:rPr>
                <w:rFonts w:ascii="Arial" w:hAnsi="Arial" w:cs="Arial"/>
                <w:sz w:val="20"/>
                <w:szCs w:val="20"/>
              </w:rPr>
            </w:pPr>
            <w:r w:rsidRPr="00F97950">
              <w:rPr>
                <w:rStyle w:val="eop"/>
                <w:rFonts w:ascii="Arial" w:hAnsi="Arial" w:cs="Arial"/>
                <w:sz w:val="20"/>
                <w:szCs w:val="20"/>
              </w:rPr>
              <w:t> </w:t>
            </w:r>
          </w:p>
          <w:p w14:paraId="22131DB6" w14:textId="44D55057" w:rsidR="00C35967" w:rsidRPr="00F97950" w:rsidRDefault="00D36C42" w:rsidP="00DB2A86">
            <w:pPr>
              <w:pStyle w:val="paragraph"/>
              <w:numPr>
                <w:ilvl w:val="0"/>
                <w:numId w:val="13"/>
              </w:numPr>
              <w:spacing w:before="0" w:beforeAutospacing="0" w:after="0" w:afterAutospacing="0"/>
              <w:ind w:right="390"/>
              <w:jc w:val="both"/>
              <w:textAlignment w:val="baseline"/>
              <w:rPr>
                <w:rStyle w:val="normaltextrun"/>
                <w:rFonts w:ascii="Arial" w:hAnsi="Arial" w:cs="Arial"/>
                <w:sz w:val="20"/>
                <w:szCs w:val="20"/>
              </w:rPr>
            </w:pPr>
            <w:r w:rsidRPr="00F97950">
              <w:rPr>
                <w:rStyle w:val="normaltextrun"/>
                <w:rFonts w:ascii="Arial" w:hAnsi="Arial" w:cs="Arial"/>
                <w:sz w:val="20"/>
                <w:szCs w:val="20"/>
              </w:rPr>
              <w:t xml:space="preserve">£15 </w:t>
            </w:r>
            <w:r w:rsidR="00364E9F" w:rsidRPr="00F97950">
              <w:rPr>
                <w:rStyle w:val="normaltextrun"/>
                <w:rFonts w:ascii="Arial" w:hAnsi="Arial" w:cs="Arial"/>
                <w:sz w:val="20"/>
                <w:szCs w:val="20"/>
              </w:rPr>
              <w:t xml:space="preserve">initial </w:t>
            </w:r>
            <w:r w:rsidRPr="00F97950">
              <w:rPr>
                <w:rStyle w:val="normaltextrun"/>
                <w:rFonts w:ascii="Arial" w:hAnsi="Arial" w:cs="Arial"/>
                <w:sz w:val="20"/>
                <w:szCs w:val="20"/>
              </w:rPr>
              <w:t>consultation</w:t>
            </w:r>
            <w:r w:rsidR="00364E9F" w:rsidRPr="00F97950">
              <w:rPr>
                <w:rStyle w:val="normaltextrun"/>
                <w:rFonts w:ascii="Arial" w:hAnsi="Arial" w:cs="Arial"/>
                <w:sz w:val="20"/>
                <w:szCs w:val="20"/>
              </w:rPr>
              <w:t xml:space="preserve"> fee</w:t>
            </w:r>
          </w:p>
          <w:p w14:paraId="02AC2F20" w14:textId="36F3BDDE" w:rsidR="00364E9F" w:rsidRPr="00F97950" w:rsidRDefault="00364E9F" w:rsidP="00DB2A86">
            <w:pPr>
              <w:pStyle w:val="paragraph"/>
              <w:numPr>
                <w:ilvl w:val="0"/>
                <w:numId w:val="13"/>
              </w:numPr>
              <w:spacing w:before="0" w:beforeAutospacing="0" w:after="0" w:afterAutospacing="0"/>
              <w:ind w:right="390"/>
              <w:jc w:val="both"/>
              <w:textAlignment w:val="baseline"/>
              <w:rPr>
                <w:rFonts w:ascii="Arial" w:hAnsi="Arial" w:cs="Arial"/>
                <w:sz w:val="20"/>
                <w:szCs w:val="20"/>
              </w:rPr>
            </w:pPr>
            <w:r w:rsidRPr="00F97950">
              <w:rPr>
                <w:rFonts w:ascii="Arial" w:hAnsi="Arial" w:cs="Arial"/>
                <w:sz w:val="20"/>
                <w:szCs w:val="20"/>
              </w:rPr>
              <w:t xml:space="preserve">£10 </w:t>
            </w:r>
            <w:r w:rsidR="00BD7E1D" w:rsidRPr="00F97950">
              <w:rPr>
                <w:rFonts w:ascii="Arial" w:hAnsi="Arial" w:cs="Arial"/>
                <w:sz w:val="20"/>
                <w:szCs w:val="20"/>
              </w:rPr>
              <w:t>Four week status review completed</w:t>
            </w:r>
          </w:p>
          <w:p w14:paraId="6E1499E4" w14:textId="564E37B8" w:rsidR="00BD7E1D" w:rsidRPr="00F97950" w:rsidRDefault="001957ED" w:rsidP="00DB2A86">
            <w:pPr>
              <w:pStyle w:val="paragraph"/>
              <w:numPr>
                <w:ilvl w:val="0"/>
                <w:numId w:val="13"/>
              </w:numPr>
              <w:spacing w:before="0" w:beforeAutospacing="0" w:after="0" w:afterAutospacing="0"/>
              <w:ind w:right="390"/>
              <w:jc w:val="both"/>
              <w:textAlignment w:val="baseline"/>
              <w:rPr>
                <w:rFonts w:ascii="Arial" w:hAnsi="Arial" w:cs="Arial"/>
                <w:sz w:val="20"/>
                <w:szCs w:val="20"/>
              </w:rPr>
            </w:pPr>
            <w:r w:rsidRPr="00F97950">
              <w:rPr>
                <w:rFonts w:ascii="Arial" w:hAnsi="Arial" w:cs="Arial"/>
                <w:sz w:val="20"/>
                <w:szCs w:val="20"/>
              </w:rPr>
              <w:t>£10 C/O validated four week quit recorded</w:t>
            </w:r>
          </w:p>
          <w:p w14:paraId="1872B810" w14:textId="77777777" w:rsidR="007C0D98" w:rsidRDefault="007C0D98" w:rsidP="007C0D98">
            <w:pPr>
              <w:pStyle w:val="paragraph"/>
              <w:spacing w:before="0" w:beforeAutospacing="0" w:after="0" w:afterAutospacing="0"/>
              <w:jc w:val="both"/>
              <w:textAlignment w:val="baseline"/>
              <w:rPr>
                <w:rFonts w:ascii="Segoe UI" w:hAnsi="Segoe UI" w:cs="Segoe UI"/>
                <w:sz w:val="18"/>
                <w:szCs w:val="18"/>
              </w:rPr>
            </w:pPr>
            <w:r>
              <w:rPr>
                <w:rStyle w:val="eop"/>
                <w:rFonts w:cs="Arial"/>
                <w:sz w:val="20"/>
              </w:rPr>
              <w:t> </w:t>
            </w:r>
          </w:p>
          <w:p w14:paraId="040BEDB2" w14:textId="77777777" w:rsidR="007C0D98" w:rsidRDefault="007C0D98" w:rsidP="007C0D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Failure by the Pharmacy to comply with the terms of this Agreement may result in the payment being withdrawn and/or the Council being entitled to repayment.</w:t>
            </w:r>
            <w:r>
              <w:rPr>
                <w:rStyle w:val="eop"/>
                <w:rFonts w:cs="Arial"/>
                <w:sz w:val="20"/>
              </w:rPr>
              <w:t> </w:t>
            </w:r>
          </w:p>
          <w:p w14:paraId="58AA7BC3" w14:textId="77777777" w:rsidR="007C0D98" w:rsidRDefault="007C0D98" w:rsidP="007C0D98">
            <w:pPr>
              <w:pStyle w:val="paragraph"/>
              <w:spacing w:before="0" w:beforeAutospacing="0" w:after="0" w:afterAutospacing="0"/>
              <w:jc w:val="both"/>
              <w:textAlignment w:val="baseline"/>
              <w:rPr>
                <w:rFonts w:ascii="Segoe UI" w:hAnsi="Segoe UI" w:cs="Segoe UI"/>
                <w:sz w:val="18"/>
                <w:szCs w:val="18"/>
              </w:rPr>
            </w:pPr>
            <w:r>
              <w:rPr>
                <w:rStyle w:val="eop"/>
                <w:rFonts w:cs="Arial"/>
                <w:sz w:val="20"/>
              </w:rPr>
              <w:t> </w:t>
            </w:r>
          </w:p>
          <w:p w14:paraId="1F5AC73A" w14:textId="77777777" w:rsidR="007C0D98" w:rsidRDefault="007C0D98" w:rsidP="007C0D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Halton Borough Council shall be entitled to suspend payment and/or vary the amount of the payment if it considers the Pharmacy has committed a serious breach of the Agreement and shall forthwith notify the Pharmacy in writing accordingly.</w:t>
            </w:r>
            <w:r>
              <w:rPr>
                <w:rStyle w:val="eop"/>
                <w:rFonts w:cs="Arial"/>
                <w:sz w:val="20"/>
              </w:rPr>
              <w:t> </w:t>
            </w:r>
          </w:p>
          <w:p w14:paraId="7899B84F" w14:textId="77777777" w:rsidR="007C0D98" w:rsidRDefault="007C0D98" w:rsidP="007C0D98">
            <w:pPr>
              <w:pStyle w:val="paragraph"/>
              <w:spacing w:before="0" w:beforeAutospacing="0" w:after="0" w:afterAutospacing="0"/>
              <w:jc w:val="both"/>
              <w:textAlignment w:val="baseline"/>
              <w:rPr>
                <w:rFonts w:ascii="Segoe UI" w:hAnsi="Segoe UI" w:cs="Segoe UI"/>
                <w:sz w:val="18"/>
                <w:szCs w:val="18"/>
              </w:rPr>
            </w:pPr>
            <w:r>
              <w:rPr>
                <w:rStyle w:val="eop"/>
                <w:rFonts w:cs="Arial"/>
                <w:sz w:val="20"/>
              </w:rPr>
              <w:t> </w:t>
            </w:r>
          </w:p>
          <w:p w14:paraId="3C40B067" w14:textId="77777777" w:rsidR="007C0D98" w:rsidRDefault="007C0D98" w:rsidP="007C0D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service and payment may be varied or discontinued if a change in Halton Borough Council service priorities is required either by changes in legislation or by other circumstances.</w:t>
            </w:r>
            <w:r>
              <w:rPr>
                <w:rStyle w:val="eop"/>
                <w:rFonts w:cs="Arial"/>
                <w:sz w:val="20"/>
              </w:rPr>
              <w:t> </w:t>
            </w:r>
          </w:p>
          <w:p w14:paraId="7BA69122" w14:textId="77777777" w:rsidR="00B91096" w:rsidRPr="00FA34B0" w:rsidRDefault="00B91096">
            <w:pPr>
              <w:rPr>
                <w:rFonts w:cs="Arial"/>
                <w:sz w:val="20"/>
              </w:rPr>
            </w:pPr>
          </w:p>
          <w:p w14:paraId="345E1533" w14:textId="77777777" w:rsidR="007755F9" w:rsidRPr="00CE4201" w:rsidRDefault="007755F9">
            <w:pPr>
              <w:rPr>
                <w:rFonts w:cs="Arial"/>
                <w:b/>
                <w:bCs/>
                <w:sz w:val="20"/>
              </w:rPr>
            </w:pPr>
            <w:r w:rsidRPr="00CE4201">
              <w:rPr>
                <w:rFonts w:cs="Arial"/>
                <w:b/>
                <w:bCs/>
                <w:sz w:val="20"/>
              </w:rPr>
              <w:t>17.1.2 Payment arrangements</w:t>
            </w:r>
          </w:p>
          <w:p w14:paraId="3BF35B8F" w14:textId="68782831" w:rsidR="007755F9" w:rsidRDefault="00D36C42">
            <w:pPr>
              <w:rPr>
                <w:rStyle w:val="eop"/>
                <w:rFonts w:cs="Arial"/>
                <w:color w:val="000000"/>
                <w:sz w:val="20"/>
                <w:shd w:val="clear" w:color="auto" w:fill="FFFFFF"/>
              </w:rPr>
            </w:pPr>
            <w:r>
              <w:rPr>
                <w:rStyle w:val="normaltextrun"/>
                <w:rFonts w:cs="Arial"/>
                <w:color w:val="000000"/>
                <w:sz w:val="20"/>
                <w:shd w:val="clear" w:color="auto" w:fill="FFFFFF"/>
                <w:lang w:val="en-US"/>
              </w:rPr>
              <w:t xml:space="preserve">In all cases payment will be made monthly in arrears from the data you will have entered on </w:t>
            </w:r>
            <w:proofErr w:type="spellStart"/>
            <w:r w:rsidR="00563DED">
              <w:rPr>
                <w:rStyle w:val="normaltextrun"/>
                <w:rFonts w:cs="Arial"/>
                <w:color w:val="000000"/>
                <w:sz w:val="20"/>
                <w:shd w:val="clear" w:color="auto" w:fill="FFFFFF"/>
                <w:lang w:val="en-US"/>
              </w:rPr>
              <w:t>PharmOutcomes</w:t>
            </w:r>
            <w:proofErr w:type="spellEnd"/>
            <w:r>
              <w:rPr>
                <w:rStyle w:val="normaltextrun"/>
                <w:rFonts w:cs="Arial"/>
                <w:color w:val="000000"/>
                <w:sz w:val="20"/>
                <w:shd w:val="clear" w:color="auto" w:fill="FFFFFF"/>
                <w:lang w:val="en-US"/>
              </w:rPr>
              <w:t xml:space="preserve">, </w:t>
            </w:r>
            <w:proofErr w:type="spellStart"/>
            <w:r w:rsidR="00563DED">
              <w:rPr>
                <w:rStyle w:val="normaltextrun"/>
                <w:rFonts w:cs="Arial"/>
                <w:color w:val="000000"/>
                <w:sz w:val="20"/>
                <w:shd w:val="clear" w:color="auto" w:fill="FFFFFF"/>
                <w:lang w:val="en-US"/>
              </w:rPr>
              <w:t>PharmOutcomes</w:t>
            </w:r>
            <w:proofErr w:type="spellEnd"/>
            <w:r>
              <w:rPr>
                <w:rStyle w:val="normaltextrun"/>
                <w:rFonts w:cs="Arial"/>
                <w:color w:val="000000"/>
                <w:sz w:val="20"/>
                <w:shd w:val="clear" w:color="auto" w:fill="FFFFFF"/>
                <w:lang w:val="en-US"/>
              </w:rPr>
              <w:t xml:space="preserve"> is an online reporting mechanism.. All claims are subject to the validation of data input and authorization from a certifying officer.  </w:t>
            </w:r>
            <w:r>
              <w:rPr>
                <w:rStyle w:val="eop"/>
                <w:rFonts w:cs="Arial"/>
                <w:color w:val="000000"/>
                <w:sz w:val="20"/>
                <w:shd w:val="clear" w:color="auto" w:fill="FFFFFF"/>
              </w:rPr>
              <w:t> </w:t>
            </w:r>
          </w:p>
          <w:p w14:paraId="557B1F65" w14:textId="77777777" w:rsidR="00D36C42" w:rsidRPr="00FA34B0" w:rsidRDefault="00D36C42">
            <w:pPr>
              <w:rPr>
                <w:rFonts w:cs="Arial"/>
                <w:sz w:val="20"/>
              </w:rPr>
            </w:pPr>
          </w:p>
          <w:p w14:paraId="4002D8EC" w14:textId="77777777" w:rsidR="007755F9" w:rsidRDefault="007755F9">
            <w:pPr>
              <w:rPr>
                <w:rFonts w:cs="Arial"/>
                <w:b/>
                <w:bCs/>
                <w:sz w:val="20"/>
              </w:rPr>
            </w:pPr>
            <w:r w:rsidRPr="00CE4201">
              <w:rPr>
                <w:rFonts w:cs="Arial"/>
                <w:b/>
                <w:bCs/>
                <w:sz w:val="20"/>
              </w:rPr>
              <w:t>17.1.3 Terms of payment</w:t>
            </w:r>
          </w:p>
          <w:p w14:paraId="59D95F99" w14:textId="77777777" w:rsidR="00D36C42" w:rsidRDefault="00D36C42">
            <w:pPr>
              <w:rPr>
                <w:rStyle w:val="eop"/>
                <w:rFonts w:cs="Arial"/>
                <w:color w:val="000000"/>
                <w:sz w:val="20"/>
                <w:shd w:val="clear" w:color="auto" w:fill="FFFFFF"/>
              </w:rPr>
            </w:pPr>
            <w:r>
              <w:rPr>
                <w:rStyle w:val="normaltextrun"/>
                <w:rFonts w:cs="Arial"/>
                <w:color w:val="000000"/>
                <w:sz w:val="20"/>
                <w:shd w:val="clear" w:color="auto" w:fill="FFFFFF"/>
                <w:lang w:val="en-US"/>
              </w:rPr>
              <w:t xml:space="preserve">The only sums payable to the Provider for the provision of the Services shall be the Contract Price. All other costs, charges, </w:t>
            </w:r>
            <w:r>
              <w:rPr>
                <w:rStyle w:val="findhit"/>
                <w:rFonts w:cs="Arial"/>
                <w:color w:val="000000"/>
                <w:sz w:val="20"/>
                <w:shd w:val="clear" w:color="auto" w:fill="FFFFFF"/>
                <w:lang w:val="en-US"/>
              </w:rPr>
              <w:t>fees</w:t>
            </w:r>
            <w:r>
              <w:rPr>
                <w:rStyle w:val="normaltextrun"/>
                <w:rFonts w:cs="Arial"/>
                <w:color w:val="000000"/>
                <w:sz w:val="20"/>
                <w:shd w:val="clear" w:color="auto" w:fill="FFFFFF"/>
                <w:lang w:val="en-US"/>
              </w:rPr>
              <w:t xml:space="preserve"> and expenses of whatever kind arising out of or in connection with the Agreement shall be the responsibility of the Provider. </w:t>
            </w:r>
            <w:r>
              <w:rPr>
                <w:rStyle w:val="eop"/>
                <w:rFonts w:cs="Arial"/>
                <w:color w:val="000000"/>
                <w:sz w:val="20"/>
                <w:shd w:val="clear" w:color="auto" w:fill="FFFFFF"/>
              </w:rPr>
              <w:t> </w:t>
            </w:r>
          </w:p>
          <w:p w14:paraId="33314C4B" w14:textId="2F8C9946" w:rsidR="00411053" w:rsidRPr="00CE4201" w:rsidRDefault="00411053">
            <w:pPr>
              <w:rPr>
                <w:rFonts w:cs="Arial"/>
                <w:b/>
                <w:bCs/>
                <w:sz w:val="20"/>
              </w:rPr>
            </w:pPr>
          </w:p>
        </w:tc>
      </w:tr>
    </w:tbl>
    <w:p w14:paraId="59C35A56" w14:textId="77777777" w:rsidR="001E2E94" w:rsidRPr="00FA34B0" w:rsidRDefault="001E2E94">
      <w:pPr>
        <w:rPr>
          <w:rFonts w:cs="Arial"/>
          <w:sz w:val="20"/>
        </w:rPr>
      </w:pPr>
    </w:p>
    <w:sectPr w:rsidR="001E2E94" w:rsidRPr="00FA3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C5E"/>
    <w:multiLevelType w:val="hybridMultilevel"/>
    <w:tmpl w:val="8B887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D8F"/>
    <w:multiLevelType w:val="hybridMultilevel"/>
    <w:tmpl w:val="C75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57F7"/>
    <w:multiLevelType w:val="hybridMultilevel"/>
    <w:tmpl w:val="F0D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2746A"/>
    <w:multiLevelType w:val="hybridMultilevel"/>
    <w:tmpl w:val="18388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C63EB2"/>
    <w:multiLevelType w:val="hybridMultilevel"/>
    <w:tmpl w:val="0582B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249F8"/>
    <w:multiLevelType w:val="hybridMultilevel"/>
    <w:tmpl w:val="CDB67B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442D5A"/>
    <w:multiLevelType w:val="hybridMultilevel"/>
    <w:tmpl w:val="01B85F8A"/>
    <w:lvl w:ilvl="0" w:tplc="08090001">
      <w:start w:val="1"/>
      <w:numFmt w:val="bullet"/>
      <w:lvlText w:val=""/>
      <w:lvlJc w:val="left"/>
      <w:pPr>
        <w:ind w:left="720" w:hanging="360"/>
      </w:pPr>
      <w:rPr>
        <w:rFonts w:ascii="Symbol" w:hAnsi="Symbol" w:hint="default"/>
      </w:rPr>
    </w:lvl>
    <w:lvl w:ilvl="1" w:tplc="9A9AB2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407BF"/>
    <w:multiLevelType w:val="hybridMultilevel"/>
    <w:tmpl w:val="91BA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73F60"/>
    <w:multiLevelType w:val="hybridMultilevel"/>
    <w:tmpl w:val="2F5C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FA5346"/>
    <w:multiLevelType w:val="hybridMultilevel"/>
    <w:tmpl w:val="DBEED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6C5E38"/>
    <w:multiLevelType w:val="hybridMultilevel"/>
    <w:tmpl w:val="FD9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468ED"/>
    <w:multiLevelType w:val="hybridMultilevel"/>
    <w:tmpl w:val="41F251EC"/>
    <w:lvl w:ilvl="0" w:tplc="08090001">
      <w:start w:val="1"/>
      <w:numFmt w:val="bullet"/>
      <w:lvlText w:val=""/>
      <w:lvlJc w:val="left"/>
      <w:pPr>
        <w:ind w:left="720" w:hanging="360"/>
      </w:pPr>
      <w:rPr>
        <w:rFonts w:ascii="Symbol" w:hAnsi="Symbol" w:hint="default"/>
      </w:rPr>
    </w:lvl>
    <w:lvl w:ilvl="1" w:tplc="485AF1A0">
      <w:start w:val="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442A0"/>
    <w:multiLevelType w:val="hybridMultilevel"/>
    <w:tmpl w:val="2A4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B103F"/>
    <w:multiLevelType w:val="multilevel"/>
    <w:tmpl w:val="E5DCAE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E5C6370"/>
    <w:multiLevelType w:val="hybridMultilevel"/>
    <w:tmpl w:val="3238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622D6"/>
    <w:multiLevelType w:val="hybridMultilevel"/>
    <w:tmpl w:val="1B16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151758">
    <w:abstractNumId w:val="13"/>
  </w:num>
  <w:num w:numId="2" w16cid:durableId="1325082472">
    <w:abstractNumId w:val="0"/>
  </w:num>
  <w:num w:numId="3" w16cid:durableId="494490995">
    <w:abstractNumId w:val="7"/>
  </w:num>
  <w:num w:numId="4" w16cid:durableId="2113281208">
    <w:abstractNumId w:val="9"/>
  </w:num>
  <w:num w:numId="5" w16cid:durableId="1452700397">
    <w:abstractNumId w:val="12"/>
  </w:num>
  <w:num w:numId="6" w16cid:durableId="1959947131">
    <w:abstractNumId w:val="6"/>
  </w:num>
  <w:num w:numId="7" w16cid:durableId="930623317">
    <w:abstractNumId w:val="8"/>
  </w:num>
  <w:num w:numId="8" w16cid:durableId="1280457750">
    <w:abstractNumId w:val="5"/>
  </w:num>
  <w:num w:numId="9" w16cid:durableId="2120561129">
    <w:abstractNumId w:val="3"/>
  </w:num>
  <w:num w:numId="10" w16cid:durableId="854923112">
    <w:abstractNumId w:val="15"/>
  </w:num>
  <w:num w:numId="11" w16cid:durableId="127012667">
    <w:abstractNumId w:val="10"/>
  </w:num>
  <w:num w:numId="12" w16cid:durableId="1696809501">
    <w:abstractNumId w:val="11"/>
  </w:num>
  <w:num w:numId="13" w16cid:durableId="360320864">
    <w:abstractNumId w:val="2"/>
  </w:num>
  <w:num w:numId="14" w16cid:durableId="2138794257">
    <w:abstractNumId w:val="14"/>
  </w:num>
  <w:num w:numId="15" w16cid:durableId="1172454018">
    <w:abstractNumId w:val="4"/>
  </w:num>
  <w:num w:numId="16" w16cid:durableId="837886154">
    <w:abstractNumId w:val="1"/>
  </w:num>
  <w:num w:numId="17" w16cid:durableId="95783836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94"/>
    <w:rsid w:val="00012E64"/>
    <w:rsid w:val="000249F6"/>
    <w:rsid w:val="00050765"/>
    <w:rsid w:val="000C1E15"/>
    <w:rsid w:val="000C6FE1"/>
    <w:rsid w:val="000C7A10"/>
    <w:rsid w:val="000D0F3D"/>
    <w:rsid w:val="000F52BE"/>
    <w:rsid w:val="00106627"/>
    <w:rsid w:val="00112F4A"/>
    <w:rsid w:val="00115D67"/>
    <w:rsid w:val="00116CB7"/>
    <w:rsid w:val="001359FC"/>
    <w:rsid w:val="001909D8"/>
    <w:rsid w:val="001957ED"/>
    <w:rsid w:val="001C73AC"/>
    <w:rsid w:val="001E2E94"/>
    <w:rsid w:val="00204A2B"/>
    <w:rsid w:val="00236E68"/>
    <w:rsid w:val="0023762E"/>
    <w:rsid w:val="0024692E"/>
    <w:rsid w:val="0026633C"/>
    <w:rsid w:val="0027686C"/>
    <w:rsid w:val="002A0390"/>
    <w:rsid w:val="00300D0C"/>
    <w:rsid w:val="00302354"/>
    <w:rsid w:val="00312F8F"/>
    <w:rsid w:val="00314EB9"/>
    <w:rsid w:val="003512ED"/>
    <w:rsid w:val="003648C9"/>
    <w:rsid w:val="00364E9F"/>
    <w:rsid w:val="00365205"/>
    <w:rsid w:val="00380B0E"/>
    <w:rsid w:val="003A2CC8"/>
    <w:rsid w:val="003B0231"/>
    <w:rsid w:val="00411053"/>
    <w:rsid w:val="004128F3"/>
    <w:rsid w:val="004323F5"/>
    <w:rsid w:val="00472425"/>
    <w:rsid w:val="00485108"/>
    <w:rsid w:val="004B25A3"/>
    <w:rsid w:val="004D1394"/>
    <w:rsid w:val="004D65FB"/>
    <w:rsid w:val="004F23E6"/>
    <w:rsid w:val="005235F6"/>
    <w:rsid w:val="00526C43"/>
    <w:rsid w:val="00563DED"/>
    <w:rsid w:val="00580786"/>
    <w:rsid w:val="00580FE6"/>
    <w:rsid w:val="005B2511"/>
    <w:rsid w:val="005C27B0"/>
    <w:rsid w:val="005C59BA"/>
    <w:rsid w:val="006223F9"/>
    <w:rsid w:val="00627EE0"/>
    <w:rsid w:val="006338B7"/>
    <w:rsid w:val="0063502F"/>
    <w:rsid w:val="00654A02"/>
    <w:rsid w:val="00661C70"/>
    <w:rsid w:val="00663F4F"/>
    <w:rsid w:val="006969ED"/>
    <w:rsid w:val="006A6E04"/>
    <w:rsid w:val="006B0C18"/>
    <w:rsid w:val="006B6408"/>
    <w:rsid w:val="006C3F6B"/>
    <w:rsid w:val="006F08D9"/>
    <w:rsid w:val="006F0CE9"/>
    <w:rsid w:val="00700238"/>
    <w:rsid w:val="00702C35"/>
    <w:rsid w:val="007318C9"/>
    <w:rsid w:val="007642E7"/>
    <w:rsid w:val="0076611D"/>
    <w:rsid w:val="00772784"/>
    <w:rsid w:val="007755F9"/>
    <w:rsid w:val="00777A04"/>
    <w:rsid w:val="0078055B"/>
    <w:rsid w:val="007B1C4C"/>
    <w:rsid w:val="007B6876"/>
    <w:rsid w:val="007C0D98"/>
    <w:rsid w:val="00853C4B"/>
    <w:rsid w:val="008B0E16"/>
    <w:rsid w:val="008F10AB"/>
    <w:rsid w:val="00922E83"/>
    <w:rsid w:val="0093547B"/>
    <w:rsid w:val="00940477"/>
    <w:rsid w:val="00950332"/>
    <w:rsid w:val="00957B59"/>
    <w:rsid w:val="00972AD3"/>
    <w:rsid w:val="009C38A0"/>
    <w:rsid w:val="009C6B72"/>
    <w:rsid w:val="009E18F0"/>
    <w:rsid w:val="00A1650F"/>
    <w:rsid w:val="00A47E72"/>
    <w:rsid w:val="00A56D08"/>
    <w:rsid w:val="00A67001"/>
    <w:rsid w:val="00AB2BEC"/>
    <w:rsid w:val="00AB6822"/>
    <w:rsid w:val="00AC02EB"/>
    <w:rsid w:val="00AD3211"/>
    <w:rsid w:val="00AD37B9"/>
    <w:rsid w:val="00AF756D"/>
    <w:rsid w:val="00B4459B"/>
    <w:rsid w:val="00B57314"/>
    <w:rsid w:val="00B77A53"/>
    <w:rsid w:val="00B91096"/>
    <w:rsid w:val="00BA0396"/>
    <w:rsid w:val="00BA32EF"/>
    <w:rsid w:val="00BB19B1"/>
    <w:rsid w:val="00BB2A12"/>
    <w:rsid w:val="00BB2F34"/>
    <w:rsid w:val="00BC5E60"/>
    <w:rsid w:val="00BD7E1D"/>
    <w:rsid w:val="00BF1933"/>
    <w:rsid w:val="00BF4C52"/>
    <w:rsid w:val="00BF6D3E"/>
    <w:rsid w:val="00C1569E"/>
    <w:rsid w:val="00C35967"/>
    <w:rsid w:val="00C36334"/>
    <w:rsid w:val="00C40D0F"/>
    <w:rsid w:val="00C9557D"/>
    <w:rsid w:val="00CA6280"/>
    <w:rsid w:val="00CC1BA6"/>
    <w:rsid w:val="00CD2B24"/>
    <w:rsid w:val="00CD48E6"/>
    <w:rsid w:val="00CE4201"/>
    <w:rsid w:val="00CF19F9"/>
    <w:rsid w:val="00CF3385"/>
    <w:rsid w:val="00CF6849"/>
    <w:rsid w:val="00D04498"/>
    <w:rsid w:val="00D116A8"/>
    <w:rsid w:val="00D36C42"/>
    <w:rsid w:val="00D77B03"/>
    <w:rsid w:val="00DB2A86"/>
    <w:rsid w:val="00DC6776"/>
    <w:rsid w:val="00DD27FA"/>
    <w:rsid w:val="00DF04C7"/>
    <w:rsid w:val="00E23784"/>
    <w:rsid w:val="00E277CD"/>
    <w:rsid w:val="00E34077"/>
    <w:rsid w:val="00E822F7"/>
    <w:rsid w:val="00E958E4"/>
    <w:rsid w:val="00ED263C"/>
    <w:rsid w:val="00F13883"/>
    <w:rsid w:val="00F34077"/>
    <w:rsid w:val="00F71787"/>
    <w:rsid w:val="00F82814"/>
    <w:rsid w:val="00F828A2"/>
    <w:rsid w:val="00F97950"/>
    <w:rsid w:val="00FA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5342"/>
  <w15:chartTrackingRefBased/>
  <w15:docId w15:val="{8C8F4808-EE48-4BDE-9FCE-2613991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94"/>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E94"/>
    <w:pPr>
      <w:suppressAutoHyphens w:val="0"/>
      <w:jc w:val="left"/>
    </w:pPr>
    <w:rPr>
      <w:rFonts w:eastAsia="MS ??" w:cs="Arial"/>
      <w:sz w:val="22"/>
      <w:szCs w:val="22"/>
    </w:rPr>
  </w:style>
  <w:style w:type="character" w:customStyle="1" w:styleId="BodyTextChar">
    <w:name w:val="Body Text Char"/>
    <w:basedOn w:val="DefaultParagraphFont"/>
    <w:link w:val="BodyText"/>
    <w:rsid w:val="001E2E94"/>
    <w:rPr>
      <w:rFonts w:ascii="Arial" w:eastAsia="MS ??" w:hAnsi="Arial" w:cs="Arial"/>
      <w:kern w:val="0"/>
      <w14:ligatures w14:val="none"/>
    </w:rPr>
  </w:style>
  <w:style w:type="table" w:styleId="TableGrid">
    <w:name w:val="Table Grid"/>
    <w:basedOn w:val="TableNormal"/>
    <w:uiPriority w:val="39"/>
    <w:rsid w:val="001E2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E2E9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D27FA"/>
    <w:rPr>
      <w:rFonts w:ascii="Arial" w:eastAsia="Times New Roman" w:hAnsi="Arial" w:cs="Times New Roman"/>
      <w:kern w:val="0"/>
      <w:sz w:val="24"/>
      <w:szCs w:val="20"/>
      <w14:ligatures w14:val="none"/>
    </w:rPr>
  </w:style>
  <w:style w:type="character" w:styleId="Hyperlink">
    <w:name w:val="Hyperlink"/>
    <w:uiPriority w:val="99"/>
    <w:rsid w:val="00972AD3"/>
    <w:rPr>
      <w:rFonts w:ascii="Arial" w:hAnsi="Arial" w:cs="Times New Roman"/>
      <w:color w:val="0000FF"/>
      <w:sz w:val="24"/>
      <w:u w:val="single"/>
    </w:rPr>
  </w:style>
  <w:style w:type="paragraph" w:customStyle="1" w:styleId="paragraph">
    <w:name w:val="paragraph"/>
    <w:basedOn w:val="Normal"/>
    <w:rsid w:val="007C0D98"/>
    <w:pPr>
      <w:suppressAutoHyphens w:val="0"/>
      <w:spacing w:before="100" w:beforeAutospacing="1" w:after="100" w:afterAutospacing="1"/>
      <w:jc w:val="left"/>
    </w:pPr>
    <w:rPr>
      <w:rFonts w:ascii="Times New Roman" w:hAnsi="Times New Roman"/>
      <w:szCs w:val="24"/>
      <w:lang w:eastAsia="en-GB"/>
    </w:rPr>
  </w:style>
  <w:style w:type="character" w:customStyle="1" w:styleId="normaltextrun">
    <w:name w:val="normaltextrun"/>
    <w:basedOn w:val="DefaultParagraphFont"/>
    <w:rsid w:val="007C0D98"/>
  </w:style>
  <w:style w:type="character" w:customStyle="1" w:styleId="eop">
    <w:name w:val="eop"/>
    <w:basedOn w:val="DefaultParagraphFont"/>
    <w:rsid w:val="007C0D98"/>
  </w:style>
  <w:style w:type="character" w:customStyle="1" w:styleId="findhit">
    <w:name w:val="findhit"/>
    <w:basedOn w:val="DefaultParagraphFont"/>
    <w:rsid w:val="00D36C42"/>
  </w:style>
  <w:style w:type="paragraph" w:customStyle="1" w:styleId="pf0">
    <w:name w:val="pf0"/>
    <w:basedOn w:val="Normal"/>
    <w:rsid w:val="009E18F0"/>
    <w:pPr>
      <w:suppressAutoHyphens w:val="0"/>
      <w:spacing w:before="100" w:beforeAutospacing="1" w:after="100" w:afterAutospacing="1"/>
      <w:jc w:val="left"/>
    </w:pPr>
    <w:rPr>
      <w:rFonts w:ascii="Times New Roman" w:hAnsi="Times New Roman"/>
      <w:szCs w:val="24"/>
      <w:lang w:eastAsia="en-GB"/>
    </w:rPr>
  </w:style>
  <w:style w:type="character" w:customStyle="1" w:styleId="cf01">
    <w:name w:val="cf01"/>
    <w:basedOn w:val="DefaultParagraphFont"/>
    <w:rsid w:val="009E18F0"/>
    <w:rPr>
      <w:rFonts w:ascii="Segoe UI" w:hAnsi="Segoe UI" w:cs="Segoe UI" w:hint="default"/>
      <w:sz w:val="18"/>
      <w:szCs w:val="18"/>
    </w:rPr>
  </w:style>
  <w:style w:type="character" w:styleId="CommentReference">
    <w:name w:val="annotation reference"/>
    <w:basedOn w:val="DefaultParagraphFont"/>
    <w:uiPriority w:val="99"/>
    <w:semiHidden/>
    <w:unhideWhenUsed/>
    <w:rsid w:val="000D0F3D"/>
    <w:rPr>
      <w:sz w:val="16"/>
      <w:szCs w:val="16"/>
    </w:rPr>
  </w:style>
  <w:style w:type="paragraph" w:styleId="CommentText">
    <w:name w:val="annotation text"/>
    <w:basedOn w:val="Normal"/>
    <w:link w:val="CommentTextChar"/>
    <w:uiPriority w:val="99"/>
    <w:semiHidden/>
    <w:unhideWhenUsed/>
    <w:rsid w:val="000D0F3D"/>
    <w:rPr>
      <w:sz w:val="20"/>
    </w:rPr>
  </w:style>
  <w:style w:type="character" w:customStyle="1" w:styleId="CommentTextChar">
    <w:name w:val="Comment Text Char"/>
    <w:basedOn w:val="DefaultParagraphFont"/>
    <w:link w:val="CommentText"/>
    <w:uiPriority w:val="99"/>
    <w:semiHidden/>
    <w:rsid w:val="000D0F3D"/>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259">
      <w:bodyDiv w:val="1"/>
      <w:marLeft w:val="0"/>
      <w:marRight w:val="0"/>
      <w:marTop w:val="0"/>
      <w:marBottom w:val="0"/>
      <w:divBdr>
        <w:top w:val="none" w:sz="0" w:space="0" w:color="auto"/>
        <w:left w:val="none" w:sz="0" w:space="0" w:color="auto"/>
        <w:bottom w:val="none" w:sz="0" w:space="0" w:color="auto"/>
        <w:right w:val="none" w:sz="0" w:space="0" w:color="auto"/>
      </w:divBdr>
    </w:div>
    <w:div w:id="269318197">
      <w:bodyDiv w:val="1"/>
      <w:marLeft w:val="0"/>
      <w:marRight w:val="0"/>
      <w:marTop w:val="0"/>
      <w:marBottom w:val="0"/>
      <w:divBdr>
        <w:top w:val="none" w:sz="0" w:space="0" w:color="auto"/>
        <w:left w:val="none" w:sz="0" w:space="0" w:color="auto"/>
        <w:bottom w:val="none" w:sz="0" w:space="0" w:color="auto"/>
        <w:right w:val="none" w:sz="0" w:space="0" w:color="auto"/>
      </w:divBdr>
    </w:div>
    <w:div w:id="291861963">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sChild>
        <w:div w:id="1134716993">
          <w:marLeft w:val="0"/>
          <w:marRight w:val="0"/>
          <w:marTop w:val="0"/>
          <w:marBottom w:val="0"/>
          <w:divBdr>
            <w:top w:val="none" w:sz="0" w:space="0" w:color="auto"/>
            <w:left w:val="none" w:sz="0" w:space="0" w:color="auto"/>
            <w:bottom w:val="none" w:sz="0" w:space="0" w:color="auto"/>
            <w:right w:val="none" w:sz="0" w:space="0" w:color="auto"/>
          </w:divBdr>
        </w:div>
        <w:div w:id="936671734">
          <w:marLeft w:val="0"/>
          <w:marRight w:val="0"/>
          <w:marTop w:val="0"/>
          <w:marBottom w:val="0"/>
          <w:divBdr>
            <w:top w:val="none" w:sz="0" w:space="0" w:color="auto"/>
            <w:left w:val="none" w:sz="0" w:space="0" w:color="auto"/>
            <w:bottom w:val="none" w:sz="0" w:space="0" w:color="auto"/>
            <w:right w:val="none" w:sz="0" w:space="0" w:color="auto"/>
          </w:divBdr>
        </w:div>
        <w:div w:id="2122453960">
          <w:marLeft w:val="0"/>
          <w:marRight w:val="0"/>
          <w:marTop w:val="0"/>
          <w:marBottom w:val="0"/>
          <w:divBdr>
            <w:top w:val="none" w:sz="0" w:space="0" w:color="auto"/>
            <w:left w:val="none" w:sz="0" w:space="0" w:color="auto"/>
            <w:bottom w:val="none" w:sz="0" w:space="0" w:color="auto"/>
            <w:right w:val="none" w:sz="0" w:space="0" w:color="auto"/>
          </w:divBdr>
        </w:div>
        <w:div w:id="2066181141">
          <w:marLeft w:val="0"/>
          <w:marRight w:val="0"/>
          <w:marTop w:val="0"/>
          <w:marBottom w:val="0"/>
          <w:divBdr>
            <w:top w:val="none" w:sz="0" w:space="0" w:color="auto"/>
            <w:left w:val="none" w:sz="0" w:space="0" w:color="auto"/>
            <w:bottom w:val="none" w:sz="0" w:space="0" w:color="auto"/>
            <w:right w:val="none" w:sz="0" w:space="0" w:color="auto"/>
          </w:divBdr>
        </w:div>
        <w:div w:id="2108579365">
          <w:marLeft w:val="0"/>
          <w:marRight w:val="0"/>
          <w:marTop w:val="0"/>
          <w:marBottom w:val="0"/>
          <w:divBdr>
            <w:top w:val="none" w:sz="0" w:space="0" w:color="auto"/>
            <w:left w:val="none" w:sz="0" w:space="0" w:color="auto"/>
            <w:bottom w:val="none" w:sz="0" w:space="0" w:color="auto"/>
            <w:right w:val="none" w:sz="0" w:space="0" w:color="auto"/>
          </w:divBdr>
        </w:div>
        <w:div w:id="1649628159">
          <w:marLeft w:val="0"/>
          <w:marRight w:val="0"/>
          <w:marTop w:val="0"/>
          <w:marBottom w:val="0"/>
          <w:divBdr>
            <w:top w:val="none" w:sz="0" w:space="0" w:color="auto"/>
            <w:left w:val="none" w:sz="0" w:space="0" w:color="auto"/>
            <w:bottom w:val="none" w:sz="0" w:space="0" w:color="auto"/>
            <w:right w:val="none" w:sz="0" w:space="0" w:color="auto"/>
          </w:divBdr>
        </w:div>
        <w:div w:id="1973098176">
          <w:marLeft w:val="0"/>
          <w:marRight w:val="0"/>
          <w:marTop w:val="0"/>
          <w:marBottom w:val="0"/>
          <w:divBdr>
            <w:top w:val="none" w:sz="0" w:space="0" w:color="auto"/>
            <w:left w:val="none" w:sz="0" w:space="0" w:color="auto"/>
            <w:bottom w:val="none" w:sz="0" w:space="0" w:color="auto"/>
            <w:right w:val="none" w:sz="0" w:space="0" w:color="auto"/>
          </w:divBdr>
        </w:div>
        <w:div w:id="1124691713">
          <w:marLeft w:val="0"/>
          <w:marRight w:val="0"/>
          <w:marTop w:val="0"/>
          <w:marBottom w:val="0"/>
          <w:divBdr>
            <w:top w:val="none" w:sz="0" w:space="0" w:color="auto"/>
            <w:left w:val="none" w:sz="0" w:space="0" w:color="auto"/>
            <w:bottom w:val="none" w:sz="0" w:space="0" w:color="auto"/>
            <w:right w:val="none" w:sz="0" w:space="0" w:color="auto"/>
          </w:divBdr>
        </w:div>
        <w:div w:id="266624575">
          <w:marLeft w:val="0"/>
          <w:marRight w:val="0"/>
          <w:marTop w:val="0"/>
          <w:marBottom w:val="0"/>
          <w:divBdr>
            <w:top w:val="none" w:sz="0" w:space="0" w:color="auto"/>
            <w:left w:val="none" w:sz="0" w:space="0" w:color="auto"/>
            <w:bottom w:val="none" w:sz="0" w:space="0" w:color="auto"/>
            <w:right w:val="none" w:sz="0" w:space="0" w:color="auto"/>
          </w:divBdr>
        </w:div>
      </w:divsChild>
    </w:div>
    <w:div w:id="875507975">
      <w:bodyDiv w:val="1"/>
      <w:marLeft w:val="0"/>
      <w:marRight w:val="0"/>
      <w:marTop w:val="0"/>
      <w:marBottom w:val="0"/>
      <w:divBdr>
        <w:top w:val="none" w:sz="0" w:space="0" w:color="auto"/>
        <w:left w:val="none" w:sz="0" w:space="0" w:color="auto"/>
        <w:bottom w:val="none" w:sz="0" w:space="0" w:color="auto"/>
        <w:right w:val="none" w:sz="0" w:space="0" w:color="auto"/>
      </w:divBdr>
    </w:div>
    <w:div w:id="1254587887">
      <w:bodyDiv w:val="1"/>
      <w:marLeft w:val="0"/>
      <w:marRight w:val="0"/>
      <w:marTop w:val="0"/>
      <w:marBottom w:val="0"/>
      <w:divBdr>
        <w:top w:val="none" w:sz="0" w:space="0" w:color="auto"/>
        <w:left w:val="none" w:sz="0" w:space="0" w:color="auto"/>
        <w:bottom w:val="none" w:sz="0" w:space="0" w:color="auto"/>
        <w:right w:val="none" w:sz="0" w:space="0" w:color="auto"/>
      </w:divBdr>
    </w:div>
    <w:div w:id="1656496699">
      <w:bodyDiv w:val="1"/>
      <w:marLeft w:val="0"/>
      <w:marRight w:val="0"/>
      <w:marTop w:val="0"/>
      <w:marBottom w:val="0"/>
      <w:divBdr>
        <w:top w:val="none" w:sz="0" w:space="0" w:color="auto"/>
        <w:left w:val="none" w:sz="0" w:space="0" w:color="auto"/>
        <w:bottom w:val="none" w:sz="0" w:space="0" w:color="auto"/>
        <w:right w:val="none" w:sz="0" w:space="0" w:color="auto"/>
      </w:divBdr>
    </w:div>
    <w:div w:id="17168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ypsp.haltonsafeguarding.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cypsp.haltonsafeguarding.co.uk/procedur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de2e8c-2ace-4fa2-81b9-be6dc61deeaf" xsi:nil="true"/>
    <lcf76f155ced4ddcb4097134ff3c332f xmlns="ee137f64-5923-4905-a363-ef0496f536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68D05E92A8F4E8F9422D7AB536E5A" ma:contentTypeVersion="15" ma:contentTypeDescription="Create a new document." ma:contentTypeScope="" ma:versionID="67e2d83800da4684235ee9e312adca98">
  <xsd:schema xmlns:xsd="http://www.w3.org/2001/XMLSchema" xmlns:xs="http://www.w3.org/2001/XMLSchema" xmlns:p="http://schemas.microsoft.com/office/2006/metadata/properties" xmlns:ns2="11de2e8c-2ace-4fa2-81b9-be6dc61deeaf" xmlns:ns3="ee137f64-5923-4905-a363-ef0496f536bb" targetNamespace="http://schemas.microsoft.com/office/2006/metadata/properties" ma:root="true" ma:fieldsID="e2d9a3682d95c775a3c8457c9794ebee" ns2:_="" ns3:_="">
    <xsd:import namespace="11de2e8c-2ace-4fa2-81b9-be6dc61deeaf"/>
    <xsd:import namespace="ee137f64-5923-4905-a363-ef0496f536bb"/>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e2e8c-2ace-4fa2-81b9-be6dc61de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16d76e2d-91a7-472b-a87f-e8453d04b77c}" ma:internalName="TaxCatchAll" ma:showField="CatchAllData" ma:web="11de2e8c-2ace-4fa2-81b9-be6dc61dee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137f64-5923-4905-a363-ef0496f536b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6A8AF-14E9-4E4C-AB37-75E3C80686EB}">
  <ds:schemaRefs>
    <ds:schemaRef ds:uri="http://schemas.microsoft.com/sharepoint/v3/contenttype/forms"/>
  </ds:schemaRefs>
</ds:datastoreItem>
</file>

<file path=customXml/itemProps2.xml><?xml version="1.0" encoding="utf-8"?>
<ds:datastoreItem xmlns:ds="http://schemas.openxmlformats.org/officeDocument/2006/customXml" ds:itemID="{8BEBB481-C8A3-4E12-8DE1-4E6CC14C3CB2}">
  <ds:schemaRefs>
    <ds:schemaRef ds:uri="http://schemas.microsoft.com/office/2006/metadata/properties"/>
    <ds:schemaRef ds:uri="http://schemas.microsoft.com/office/infopath/2007/PartnerControls"/>
    <ds:schemaRef ds:uri="11de2e8c-2ace-4fa2-81b9-be6dc61deeaf"/>
    <ds:schemaRef ds:uri="ee137f64-5923-4905-a363-ef0496f536bb"/>
  </ds:schemaRefs>
</ds:datastoreItem>
</file>

<file path=customXml/itemProps3.xml><?xml version="1.0" encoding="utf-8"?>
<ds:datastoreItem xmlns:ds="http://schemas.openxmlformats.org/officeDocument/2006/customXml" ds:itemID="{EEBA5E70-CB88-4DF2-A8C9-DD15E473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e2e8c-2ace-4fa2-81b9-be6dc61deeaf"/>
    <ds:schemaRef ds:uri="ee137f64-5923-4905-a363-ef0496f53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Evison</dc:creator>
  <cp:keywords/>
  <dc:description/>
  <cp:lastModifiedBy>Rebekah Evison</cp:lastModifiedBy>
  <cp:revision>92</cp:revision>
  <dcterms:created xsi:type="dcterms:W3CDTF">2024-01-23T15:35:00Z</dcterms:created>
  <dcterms:modified xsi:type="dcterms:W3CDTF">2024-03-27T10:50:00Z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0x0101007D468D05E92A8F4E8F9422D7AB536E5A</vt:lpwstr>
  </property>
  <property fmtid="{D5CDD505-2E9C-101B-9397-08002B2CF9AE}" pid="3" name="MediaServiceImageTags">
    <vt:lpwstr/>
  </property>
</Properties>
</file>