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845"/>
      </w:tblGrid>
      <w:tr w:rsidR="00936637" w:rsidRPr="00997B81" w14:paraId="04FE8C50" w14:textId="77777777" w:rsidTr="00DA2F46">
        <w:trPr>
          <w:trHeight w:val="345"/>
        </w:trPr>
        <w:tc>
          <w:tcPr>
            <w:tcW w:w="3073" w:type="dxa"/>
            <w:shd w:val="clear" w:color="auto" w:fill="595959"/>
            <w:vAlign w:val="center"/>
          </w:tcPr>
          <w:p w14:paraId="0619ED40" w14:textId="77777777" w:rsidR="00936637" w:rsidRPr="00997B81" w:rsidRDefault="00936637" w:rsidP="00DA2F46">
            <w:pPr>
              <w:pStyle w:val="BodyText"/>
              <w:rPr>
                <w:rFonts w:cs="Arial"/>
                <w:b/>
                <w:color w:val="FFFFFF"/>
                <w:szCs w:val="22"/>
              </w:rPr>
            </w:pPr>
            <w:r w:rsidRPr="00997B81">
              <w:rPr>
                <w:rFonts w:cs="Arial"/>
                <w:b/>
                <w:color w:val="FFFFFF"/>
                <w:szCs w:val="22"/>
              </w:rPr>
              <w:t xml:space="preserve">Service Specification No. </w:t>
            </w:r>
          </w:p>
        </w:tc>
        <w:tc>
          <w:tcPr>
            <w:tcW w:w="6845" w:type="dxa"/>
            <w:vAlign w:val="center"/>
          </w:tcPr>
          <w:p w14:paraId="2BAF73E9" w14:textId="77777777" w:rsidR="00936637" w:rsidRPr="00997B81" w:rsidRDefault="00936637" w:rsidP="00DA2F46">
            <w:pPr>
              <w:pStyle w:val="BodyText"/>
              <w:rPr>
                <w:rFonts w:cs="Arial"/>
                <w:b/>
                <w:bCs/>
                <w:szCs w:val="22"/>
              </w:rPr>
            </w:pPr>
            <w:r w:rsidRPr="00997B81">
              <w:rPr>
                <w:rFonts w:cs="Arial"/>
                <w:b/>
                <w:bCs/>
                <w:szCs w:val="22"/>
              </w:rPr>
              <w:t>3</w:t>
            </w:r>
          </w:p>
        </w:tc>
      </w:tr>
      <w:tr w:rsidR="00936637" w:rsidRPr="00997B81" w14:paraId="379A4741" w14:textId="77777777" w:rsidTr="00DA2F46">
        <w:trPr>
          <w:trHeight w:val="345"/>
        </w:trPr>
        <w:tc>
          <w:tcPr>
            <w:tcW w:w="3073" w:type="dxa"/>
            <w:shd w:val="clear" w:color="auto" w:fill="595959"/>
            <w:vAlign w:val="center"/>
          </w:tcPr>
          <w:p w14:paraId="3459844C" w14:textId="77777777" w:rsidR="00936637" w:rsidRPr="00997B81" w:rsidRDefault="00936637" w:rsidP="00DA2F46">
            <w:pPr>
              <w:pStyle w:val="BodyText"/>
              <w:rPr>
                <w:rFonts w:cs="Arial"/>
                <w:b/>
                <w:color w:val="FFFFFF"/>
                <w:szCs w:val="22"/>
              </w:rPr>
            </w:pPr>
            <w:r w:rsidRPr="00997B81">
              <w:rPr>
                <w:rFonts w:cs="Arial"/>
                <w:b/>
                <w:color w:val="FFFFFF"/>
                <w:szCs w:val="22"/>
              </w:rPr>
              <w:t>Service</w:t>
            </w:r>
          </w:p>
        </w:tc>
        <w:tc>
          <w:tcPr>
            <w:tcW w:w="6845" w:type="dxa"/>
            <w:vAlign w:val="center"/>
          </w:tcPr>
          <w:p w14:paraId="69352A07" w14:textId="77777777" w:rsidR="00936637" w:rsidRPr="00997B81" w:rsidRDefault="00936637" w:rsidP="00DA2F46">
            <w:pPr>
              <w:pStyle w:val="BodyText"/>
              <w:rPr>
                <w:rFonts w:cs="Arial"/>
                <w:b/>
                <w:bCs/>
                <w:szCs w:val="22"/>
              </w:rPr>
            </w:pPr>
            <w:r w:rsidRPr="00997B81">
              <w:rPr>
                <w:rFonts w:cs="Arial"/>
                <w:b/>
                <w:bCs/>
                <w:szCs w:val="22"/>
              </w:rPr>
              <w:t>Supervised Consumption for Drug Users</w:t>
            </w:r>
          </w:p>
        </w:tc>
      </w:tr>
    </w:tbl>
    <w:p w14:paraId="34AC53FE" w14:textId="77777777" w:rsidR="00936637" w:rsidRPr="00997B81" w:rsidRDefault="00936637" w:rsidP="00936637">
      <w:pPr>
        <w:suppressAutoHyphens w:val="0"/>
        <w:rPr>
          <w:rFonts w:cs="Arial"/>
          <w:sz w:val="22"/>
          <w:szCs w:val="22"/>
        </w:rPr>
      </w:pPr>
    </w:p>
    <w:p w14:paraId="521F06C6" w14:textId="77777777" w:rsidR="00936637" w:rsidRPr="00997B81" w:rsidRDefault="00936637" w:rsidP="00936637">
      <w:pPr>
        <w:suppressAutoHyphens w:val="0"/>
        <w:rPr>
          <w:rFonts w:cs="Arial"/>
          <w:sz w:val="22"/>
          <w:szCs w:val="22"/>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936637" w:rsidRPr="00997B81" w14:paraId="02FFD975" w14:textId="77777777" w:rsidTr="00DA2F46">
        <w:tc>
          <w:tcPr>
            <w:tcW w:w="9990" w:type="dxa"/>
            <w:tcBorders>
              <w:top w:val="single" w:sz="4" w:space="0" w:color="999999"/>
              <w:left w:val="single" w:sz="4" w:space="0" w:color="999999"/>
              <w:bottom w:val="single" w:sz="4" w:space="0" w:color="999999"/>
              <w:right w:val="single" w:sz="4" w:space="0" w:color="999999"/>
            </w:tcBorders>
            <w:shd w:val="clear" w:color="auto" w:fill="666666"/>
          </w:tcPr>
          <w:p w14:paraId="0B53A90F" w14:textId="77777777" w:rsidR="00936637" w:rsidRPr="00997B81" w:rsidRDefault="00936637" w:rsidP="00DA2F46">
            <w:pPr>
              <w:pStyle w:val="BodyText"/>
              <w:jc w:val="both"/>
              <w:rPr>
                <w:rFonts w:cs="Arial"/>
                <w:b/>
                <w:color w:val="FFFFFF"/>
                <w:szCs w:val="22"/>
              </w:rPr>
            </w:pPr>
          </w:p>
          <w:p w14:paraId="238950BC" w14:textId="77777777" w:rsidR="00936637" w:rsidRPr="00997B81" w:rsidRDefault="00936637" w:rsidP="00DA2F46">
            <w:pPr>
              <w:pStyle w:val="BodyText"/>
              <w:jc w:val="both"/>
              <w:rPr>
                <w:rFonts w:cs="Arial"/>
                <w:b/>
                <w:color w:val="FFFFFF"/>
                <w:szCs w:val="22"/>
              </w:rPr>
            </w:pPr>
            <w:r w:rsidRPr="00997B81">
              <w:rPr>
                <w:rFonts w:cs="Arial"/>
                <w:b/>
                <w:color w:val="FFFFFF"/>
                <w:szCs w:val="22"/>
              </w:rPr>
              <w:t>1. Population Needs</w:t>
            </w:r>
          </w:p>
          <w:p w14:paraId="65EAFD2F" w14:textId="77777777" w:rsidR="00936637" w:rsidRPr="00997B81" w:rsidRDefault="00936637" w:rsidP="00DA2F46">
            <w:pPr>
              <w:pStyle w:val="BodyText"/>
              <w:jc w:val="both"/>
              <w:rPr>
                <w:rFonts w:cs="Arial"/>
                <w:b/>
                <w:color w:val="FFFFFF"/>
                <w:szCs w:val="22"/>
              </w:rPr>
            </w:pPr>
          </w:p>
        </w:tc>
      </w:tr>
      <w:tr w:rsidR="00936637" w:rsidRPr="00997B81" w14:paraId="182B4FD4" w14:textId="77777777" w:rsidTr="00DA2F46">
        <w:tc>
          <w:tcPr>
            <w:tcW w:w="9990" w:type="dxa"/>
            <w:tcBorders>
              <w:top w:val="single" w:sz="4" w:space="0" w:color="999999"/>
              <w:left w:val="single" w:sz="4" w:space="0" w:color="999999"/>
              <w:bottom w:val="single" w:sz="4" w:space="0" w:color="999999"/>
              <w:right w:val="single" w:sz="4" w:space="0" w:color="999999"/>
            </w:tcBorders>
          </w:tcPr>
          <w:p w14:paraId="2C4607C4" w14:textId="77777777" w:rsidR="00936637" w:rsidRPr="00997B81" w:rsidRDefault="00936637" w:rsidP="00DA2F46">
            <w:pPr>
              <w:pStyle w:val="BodyText"/>
              <w:jc w:val="both"/>
              <w:rPr>
                <w:rFonts w:cs="Arial"/>
                <w:b/>
                <w:bCs/>
                <w:szCs w:val="22"/>
              </w:rPr>
            </w:pPr>
          </w:p>
          <w:p w14:paraId="15A4AEC5" w14:textId="77777777" w:rsidR="00936637" w:rsidRPr="00997B81" w:rsidRDefault="00936637" w:rsidP="00DA2F46">
            <w:pPr>
              <w:suppressAutoHyphens w:val="0"/>
              <w:rPr>
                <w:rFonts w:cs="Arial"/>
                <w:b/>
                <w:bCs/>
                <w:sz w:val="22"/>
                <w:szCs w:val="22"/>
              </w:rPr>
            </w:pPr>
            <w:r w:rsidRPr="00997B81">
              <w:rPr>
                <w:rFonts w:cs="Arial"/>
                <w:b/>
                <w:bCs/>
                <w:sz w:val="22"/>
                <w:szCs w:val="22"/>
              </w:rPr>
              <w:t>1.1 National/local context and evidence base</w:t>
            </w:r>
          </w:p>
          <w:p w14:paraId="69D16766" w14:textId="77777777" w:rsidR="00936637" w:rsidRPr="00997B81" w:rsidRDefault="00936637" w:rsidP="00DA2F46">
            <w:pPr>
              <w:suppressAutoHyphens w:val="0"/>
              <w:rPr>
                <w:rFonts w:cs="Arial"/>
                <w:bCs/>
                <w:sz w:val="22"/>
                <w:szCs w:val="22"/>
              </w:rPr>
            </w:pPr>
          </w:p>
          <w:p w14:paraId="217897DD" w14:textId="77777777" w:rsidR="00936637" w:rsidRPr="00997B81" w:rsidRDefault="00936637"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Drug misuse is a major source of harm in our local communities resulting in a range of harm including drug related crime and anti-social behavior, deliberate self-harm, suicide, and short and long-term damage to physical and mental health, harm to unborn babies, child neglect and early mortality, as well as increased risk taking in sexual behavior. Many accidental injuries and road traffic accidents are attributable to substance misuse, and it is linked to negative effects on the economy and incalculable misery for individuals and families.</w:t>
            </w:r>
          </w:p>
          <w:p w14:paraId="2A66AAAA" w14:textId="77777777" w:rsidR="00936637" w:rsidRPr="00997B81" w:rsidRDefault="00936637" w:rsidP="00DA2F46">
            <w:pPr>
              <w:autoSpaceDE w:val="0"/>
              <w:autoSpaceDN w:val="0"/>
              <w:adjustRightInd w:val="0"/>
              <w:spacing w:line="240" w:lineRule="atLeast"/>
              <w:rPr>
                <w:rFonts w:cs="Arial"/>
                <w:color w:val="000000" w:themeColor="text1"/>
                <w:sz w:val="22"/>
                <w:szCs w:val="22"/>
                <w:lang w:val="en-US"/>
              </w:rPr>
            </w:pPr>
          </w:p>
          <w:p w14:paraId="3FAE0A22" w14:textId="77777777" w:rsidR="00936637" w:rsidRPr="00997B81" w:rsidRDefault="00936637"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Drug misuse is a major source of harm in our local communities resulting in a range of harm including drug related crime and anti-social behavior, deliberate self-harm, suicide, and short and long-term damage to physical and mental health, harm to unborn babies, child neglect and early mortality, as well as increased risk taking in sexual behavior. Many accidental injuries and road traffic accidents are attributable to substance misuse, and it is linked to negative effects on the economy and incalculable misery for individuals and families.</w:t>
            </w:r>
          </w:p>
          <w:p w14:paraId="12C7940B" w14:textId="77777777" w:rsidR="00936637" w:rsidRPr="00997B81" w:rsidRDefault="00936637" w:rsidP="00DA2F46">
            <w:pPr>
              <w:autoSpaceDE w:val="0"/>
              <w:autoSpaceDN w:val="0"/>
              <w:adjustRightInd w:val="0"/>
              <w:spacing w:line="240" w:lineRule="atLeast"/>
              <w:rPr>
                <w:rFonts w:cs="Arial"/>
                <w:color w:val="000000" w:themeColor="text1"/>
                <w:sz w:val="22"/>
                <w:szCs w:val="22"/>
                <w:lang w:val="en-US"/>
              </w:rPr>
            </w:pPr>
          </w:p>
          <w:p w14:paraId="0D872DBC" w14:textId="77777777" w:rsidR="00936637" w:rsidRPr="00997B81" w:rsidRDefault="00936637"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 xml:space="preserve">The Governments </w:t>
            </w:r>
            <w:hyperlink r:id="rId5" w:history="1">
              <w:r w:rsidRPr="00997B81">
                <w:rPr>
                  <w:rStyle w:val="Hyperlink"/>
                  <w:rFonts w:cs="Arial"/>
                  <w:sz w:val="22"/>
                  <w:szCs w:val="22"/>
                  <w:lang w:val="en-US"/>
                </w:rPr>
                <w:t>From Harm to Hope Drug Strategy</w:t>
              </w:r>
            </w:hyperlink>
            <w:r w:rsidRPr="00997B81">
              <w:rPr>
                <w:rFonts w:cs="Arial"/>
                <w:color w:val="000000" w:themeColor="text1"/>
                <w:sz w:val="22"/>
                <w:szCs w:val="22"/>
                <w:lang w:val="en-US"/>
              </w:rPr>
              <w:t xml:space="preserve"> (2021) sets out a ten year drugs plan to cut crime and save lives delivering a world class treatment and recovery services that aims to:</w:t>
            </w:r>
          </w:p>
          <w:p w14:paraId="15F24091" w14:textId="77777777" w:rsidR="00936637" w:rsidRPr="00997B81" w:rsidRDefault="00936637" w:rsidP="00936637">
            <w:pPr>
              <w:pStyle w:val="ListParagraph"/>
              <w:numPr>
                <w:ilvl w:val="0"/>
                <w:numId w:val="3"/>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Reduce overall drug use</w:t>
            </w:r>
          </w:p>
          <w:p w14:paraId="09A3C828" w14:textId="77777777" w:rsidR="00936637" w:rsidRPr="00997B81" w:rsidRDefault="00936637" w:rsidP="00936637">
            <w:pPr>
              <w:pStyle w:val="ListParagraph"/>
              <w:numPr>
                <w:ilvl w:val="0"/>
                <w:numId w:val="3"/>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Reduce drug related crime</w:t>
            </w:r>
          </w:p>
          <w:p w14:paraId="6B4252F6" w14:textId="77777777" w:rsidR="00936637" w:rsidRPr="00997B81" w:rsidRDefault="00936637" w:rsidP="00936637">
            <w:pPr>
              <w:pStyle w:val="ListParagraph"/>
              <w:numPr>
                <w:ilvl w:val="0"/>
                <w:numId w:val="3"/>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Reduce drug related deaths and harms</w:t>
            </w:r>
          </w:p>
          <w:p w14:paraId="6A759C8E" w14:textId="77777777" w:rsidR="00936637" w:rsidRPr="00997B81" w:rsidRDefault="00936637" w:rsidP="00936637">
            <w:pPr>
              <w:pStyle w:val="ListParagraph"/>
              <w:numPr>
                <w:ilvl w:val="0"/>
                <w:numId w:val="3"/>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 xml:space="preserve">Reduce the levels of drug supply </w:t>
            </w:r>
          </w:p>
          <w:p w14:paraId="3D03D0B9" w14:textId="77777777" w:rsidR="00936637" w:rsidRPr="00997B81" w:rsidRDefault="00936637" w:rsidP="00936637">
            <w:pPr>
              <w:pStyle w:val="ListParagraph"/>
              <w:numPr>
                <w:ilvl w:val="0"/>
                <w:numId w:val="3"/>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Improve recovery outcomes</w:t>
            </w:r>
          </w:p>
          <w:p w14:paraId="566B1A94" w14:textId="77777777" w:rsidR="00936637" w:rsidRPr="00997B81" w:rsidRDefault="00936637" w:rsidP="00936637">
            <w:pPr>
              <w:pStyle w:val="ListParagraph"/>
              <w:numPr>
                <w:ilvl w:val="0"/>
                <w:numId w:val="3"/>
              </w:num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Increase engagement in treatment</w:t>
            </w:r>
          </w:p>
          <w:p w14:paraId="65E783A5" w14:textId="77777777" w:rsidR="00936637" w:rsidRPr="00997B81" w:rsidRDefault="00936637" w:rsidP="00DA2F46">
            <w:pPr>
              <w:autoSpaceDE w:val="0"/>
              <w:autoSpaceDN w:val="0"/>
              <w:adjustRightInd w:val="0"/>
              <w:spacing w:line="240" w:lineRule="atLeast"/>
              <w:rPr>
                <w:rFonts w:cs="Arial"/>
                <w:color w:val="000000" w:themeColor="text1"/>
                <w:sz w:val="22"/>
                <w:szCs w:val="22"/>
                <w:lang w:val="en-US"/>
              </w:rPr>
            </w:pPr>
          </w:p>
          <w:p w14:paraId="7DB22FA6" w14:textId="77777777" w:rsidR="00936637" w:rsidRPr="00997B81" w:rsidRDefault="00936637" w:rsidP="00DA2F46">
            <w:pPr>
              <w:autoSpaceDE w:val="0"/>
              <w:autoSpaceDN w:val="0"/>
              <w:adjustRightInd w:val="0"/>
              <w:spacing w:line="240" w:lineRule="atLeast"/>
              <w:rPr>
                <w:rFonts w:cs="Arial"/>
                <w:color w:val="000000" w:themeColor="text1"/>
                <w:sz w:val="22"/>
                <w:szCs w:val="22"/>
                <w:lang w:val="en-US"/>
              </w:rPr>
            </w:pPr>
            <w:r w:rsidRPr="00997B81">
              <w:rPr>
                <w:rFonts w:cs="Arial"/>
                <w:color w:val="000000" w:themeColor="text1"/>
                <w:sz w:val="22"/>
                <w:szCs w:val="22"/>
                <w:lang w:val="en-US"/>
              </w:rPr>
              <w:t xml:space="preserve">The government aim to boost the sectors health professional workforce and expand evidence-based treatments and interventions which include the provision across pharmacies to provide supervised consumption of prescribed opiate substitution medication for drug misuse treatment. A local outcomes framework has been implemented by the Office for Health Improvement and Disparities to provide key information to monitor local performance and activity against the key objectives outlined within the National Drug Strategy. </w:t>
            </w:r>
          </w:p>
          <w:p w14:paraId="37DAE3EC" w14:textId="77777777" w:rsidR="00936637" w:rsidRPr="00997B81" w:rsidRDefault="00936637" w:rsidP="00DA2F46">
            <w:pPr>
              <w:autoSpaceDE w:val="0"/>
              <w:autoSpaceDN w:val="0"/>
              <w:adjustRightInd w:val="0"/>
              <w:spacing w:line="240" w:lineRule="atLeast"/>
              <w:rPr>
                <w:rFonts w:cs="Arial"/>
                <w:color w:val="000000" w:themeColor="text1"/>
                <w:sz w:val="22"/>
                <w:szCs w:val="22"/>
                <w:lang w:val="en-US"/>
              </w:rPr>
            </w:pPr>
          </w:p>
          <w:p w14:paraId="6366AEDF" w14:textId="77777777" w:rsidR="00936637" w:rsidRPr="00997B81" w:rsidRDefault="00936637" w:rsidP="00DA2F46">
            <w:pPr>
              <w:rPr>
                <w:rFonts w:cs="Arial"/>
                <w:b/>
                <w:bCs/>
                <w:sz w:val="22"/>
                <w:szCs w:val="22"/>
              </w:rPr>
            </w:pPr>
            <w:r w:rsidRPr="00997B81">
              <w:rPr>
                <w:rFonts w:cs="Arial"/>
                <w:b/>
                <w:bCs/>
                <w:sz w:val="22"/>
                <w:szCs w:val="22"/>
              </w:rPr>
              <w:t>Local context:</w:t>
            </w:r>
          </w:p>
          <w:p w14:paraId="754F8E8E" w14:textId="77777777" w:rsidR="00936637" w:rsidRPr="00997B81" w:rsidRDefault="00936637" w:rsidP="00DA2F46">
            <w:pPr>
              <w:rPr>
                <w:rFonts w:cs="Arial"/>
                <w:bCs/>
                <w:sz w:val="22"/>
                <w:szCs w:val="22"/>
              </w:rPr>
            </w:pPr>
          </w:p>
          <w:p w14:paraId="081CCCDC" w14:textId="77777777" w:rsidR="00936637" w:rsidRPr="00997B81" w:rsidRDefault="00936637" w:rsidP="00DA2F46">
            <w:pPr>
              <w:rPr>
                <w:rFonts w:eastAsiaTheme="minorHAnsi" w:cs="Arial"/>
                <w:bCs/>
                <w:sz w:val="22"/>
                <w:szCs w:val="22"/>
              </w:rPr>
            </w:pPr>
            <w:r w:rsidRPr="00997B81">
              <w:rPr>
                <w:rFonts w:cs="Arial"/>
                <w:bCs/>
                <w:sz w:val="22"/>
                <w:szCs w:val="22"/>
              </w:rPr>
              <w:t xml:space="preserve">The latest prevalence </w:t>
            </w:r>
            <w:proofErr w:type="gramStart"/>
            <w:r w:rsidRPr="00997B81">
              <w:rPr>
                <w:rFonts w:cs="Arial"/>
                <w:bCs/>
                <w:sz w:val="22"/>
                <w:szCs w:val="22"/>
              </w:rPr>
              <w:t>estimate</w:t>
            </w:r>
            <w:proofErr w:type="gramEnd"/>
            <w:r w:rsidRPr="00997B81">
              <w:rPr>
                <w:rFonts w:cs="Arial"/>
                <w:bCs/>
                <w:sz w:val="22"/>
                <w:szCs w:val="22"/>
              </w:rPr>
              <w:t xml:space="preserve"> available from Public Health England, produced by Liverpool John Moores University (based on 2016/17 data), </w:t>
            </w:r>
            <w:r w:rsidRPr="00997B81">
              <w:rPr>
                <w:rFonts w:cs="Arial"/>
                <w:b/>
                <w:bCs/>
                <w:sz w:val="22"/>
                <w:szCs w:val="22"/>
              </w:rPr>
              <w:t xml:space="preserve">indicates that Knowsley had a 15–64-year-old population of </w:t>
            </w:r>
            <w:r w:rsidRPr="00997B81">
              <w:rPr>
                <w:rFonts w:cs="Arial"/>
                <w:b/>
                <w:bCs/>
                <w:color w:val="000000" w:themeColor="text1"/>
                <w:sz w:val="22"/>
                <w:szCs w:val="22"/>
              </w:rPr>
              <w:t xml:space="preserve">95,572 </w:t>
            </w:r>
            <w:r w:rsidRPr="00997B81">
              <w:rPr>
                <w:rFonts w:cs="Arial"/>
                <w:b/>
                <w:bCs/>
                <w:sz w:val="22"/>
                <w:szCs w:val="22"/>
              </w:rPr>
              <w:t xml:space="preserve">and has an estimated total number of 1,145 Opiate and Crack Users (OCUs) </w:t>
            </w:r>
            <w:r w:rsidRPr="00997B81">
              <w:rPr>
                <w:rFonts w:cs="Arial"/>
                <w:bCs/>
                <w:sz w:val="22"/>
                <w:szCs w:val="22"/>
              </w:rPr>
              <w:t>(with a 95% confidence interval of between 853 –1,421). Therefore, it is estimated that per thousand of the population Knowsley has 12.0 OCU’s compared to the national average of 8.9 OCU’s per thousand of the population.</w:t>
            </w:r>
          </w:p>
          <w:p w14:paraId="53EBBD5B" w14:textId="77777777" w:rsidR="00936637" w:rsidRPr="00997B81" w:rsidRDefault="00936637" w:rsidP="00DA2F46">
            <w:pPr>
              <w:rPr>
                <w:rFonts w:cs="Arial"/>
                <w:bCs/>
                <w:sz w:val="22"/>
                <w:szCs w:val="22"/>
              </w:rPr>
            </w:pPr>
          </w:p>
          <w:tbl>
            <w:tblPr>
              <w:tblStyle w:val="TableGrid"/>
              <w:tblW w:w="0" w:type="auto"/>
              <w:tblInd w:w="817" w:type="dxa"/>
              <w:tblLayout w:type="fixed"/>
              <w:tblLook w:val="04A0" w:firstRow="1" w:lastRow="0" w:firstColumn="1" w:lastColumn="0" w:noHBand="0" w:noVBand="1"/>
            </w:tblPr>
            <w:tblGrid>
              <w:gridCol w:w="1518"/>
              <w:gridCol w:w="2735"/>
              <w:gridCol w:w="3543"/>
            </w:tblGrid>
            <w:tr w:rsidR="00936637" w:rsidRPr="00997B81" w14:paraId="389B6787" w14:textId="77777777" w:rsidTr="00DA2F46">
              <w:tc>
                <w:tcPr>
                  <w:tcW w:w="1518" w:type="dxa"/>
                  <w:tcBorders>
                    <w:top w:val="single" w:sz="4" w:space="0" w:color="auto"/>
                    <w:left w:val="single" w:sz="4" w:space="0" w:color="auto"/>
                    <w:bottom w:val="single" w:sz="4" w:space="0" w:color="auto"/>
                    <w:right w:val="single" w:sz="4" w:space="0" w:color="auto"/>
                  </w:tcBorders>
                </w:tcPr>
                <w:p w14:paraId="15CC370F" w14:textId="77777777" w:rsidR="00936637" w:rsidRPr="00997B81" w:rsidRDefault="00936637" w:rsidP="00DA2F46">
                  <w:pPr>
                    <w:rPr>
                      <w:rFonts w:cs="Arial"/>
                      <w:bCs/>
                      <w:sz w:val="22"/>
                      <w:szCs w:val="22"/>
                    </w:rPr>
                  </w:pPr>
                </w:p>
              </w:tc>
              <w:tc>
                <w:tcPr>
                  <w:tcW w:w="2735" w:type="dxa"/>
                  <w:tcBorders>
                    <w:top w:val="single" w:sz="4" w:space="0" w:color="auto"/>
                    <w:left w:val="single" w:sz="4" w:space="0" w:color="auto"/>
                    <w:bottom w:val="single" w:sz="4" w:space="0" w:color="auto"/>
                    <w:right w:val="single" w:sz="4" w:space="0" w:color="auto"/>
                  </w:tcBorders>
                  <w:hideMark/>
                </w:tcPr>
                <w:p w14:paraId="5668FC9C" w14:textId="77777777" w:rsidR="00936637" w:rsidRPr="00997B81" w:rsidRDefault="00936637" w:rsidP="00DA2F46">
                  <w:pPr>
                    <w:rPr>
                      <w:rFonts w:cs="Arial"/>
                      <w:bCs/>
                      <w:sz w:val="22"/>
                      <w:szCs w:val="22"/>
                      <w:u w:val="single"/>
                    </w:rPr>
                  </w:pPr>
                  <w:r w:rsidRPr="00997B81">
                    <w:rPr>
                      <w:rFonts w:cs="Arial"/>
                      <w:bCs/>
                      <w:sz w:val="22"/>
                      <w:szCs w:val="22"/>
                      <w:u w:val="single"/>
                    </w:rPr>
                    <w:t>Estimated Number of Users</w:t>
                  </w:r>
                </w:p>
              </w:tc>
              <w:tc>
                <w:tcPr>
                  <w:tcW w:w="3543" w:type="dxa"/>
                  <w:tcBorders>
                    <w:top w:val="single" w:sz="4" w:space="0" w:color="auto"/>
                    <w:left w:val="single" w:sz="4" w:space="0" w:color="auto"/>
                    <w:bottom w:val="single" w:sz="4" w:space="0" w:color="auto"/>
                    <w:right w:val="single" w:sz="4" w:space="0" w:color="auto"/>
                  </w:tcBorders>
                  <w:hideMark/>
                </w:tcPr>
                <w:p w14:paraId="14AFD56D" w14:textId="77777777" w:rsidR="00936637" w:rsidRPr="00997B81" w:rsidRDefault="00936637" w:rsidP="00DA2F46">
                  <w:pPr>
                    <w:jc w:val="center"/>
                    <w:rPr>
                      <w:rFonts w:cs="Arial"/>
                      <w:bCs/>
                      <w:sz w:val="22"/>
                      <w:szCs w:val="22"/>
                      <w:u w:val="single"/>
                    </w:rPr>
                  </w:pPr>
                  <w:r w:rsidRPr="00997B81">
                    <w:rPr>
                      <w:rFonts w:cs="Arial"/>
                      <w:bCs/>
                      <w:sz w:val="22"/>
                      <w:szCs w:val="22"/>
                      <w:u w:val="single"/>
                    </w:rPr>
                    <w:t>Rate per thousand of the population</w:t>
                  </w:r>
                </w:p>
              </w:tc>
            </w:tr>
            <w:tr w:rsidR="00936637" w:rsidRPr="00997B81" w14:paraId="1166F2AB" w14:textId="77777777" w:rsidTr="00DA2F46">
              <w:tc>
                <w:tcPr>
                  <w:tcW w:w="1518" w:type="dxa"/>
                  <w:tcBorders>
                    <w:top w:val="single" w:sz="4" w:space="0" w:color="auto"/>
                    <w:left w:val="single" w:sz="4" w:space="0" w:color="auto"/>
                    <w:bottom w:val="single" w:sz="4" w:space="0" w:color="auto"/>
                    <w:right w:val="single" w:sz="4" w:space="0" w:color="auto"/>
                  </w:tcBorders>
                  <w:hideMark/>
                </w:tcPr>
                <w:p w14:paraId="3CDF70F9" w14:textId="77777777" w:rsidR="00936637" w:rsidRPr="00997B81" w:rsidRDefault="00936637" w:rsidP="00DA2F46">
                  <w:pPr>
                    <w:rPr>
                      <w:rFonts w:cs="Arial"/>
                      <w:b/>
                      <w:bCs/>
                      <w:sz w:val="22"/>
                      <w:szCs w:val="22"/>
                    </w:rPr>
                  </w:pPr>
                  <w:r w:rsidRPr="00997B81">
                    <w:rPr>
                      <w:rFonts w:cs="Arial"/>
                      <w:b/>
                      <w:bCs/>
                      <w:sz w:val="22"/>
                      <w:szCs w:val="22"/>
                    </w:rPr>
                    <w:t>OCUs</w:t>
                  </w:r>
                </w:p>
              </w:tc>
              <w:tc>
                <w:tcPr>
                  <w:tcW w:w="2735" w:type="dxa"/>
                  <w:tcBorders>
                    <w:top w:val="single" w:sz="4" w:space="0" w:color="auto"/>
                    <w:left w:val="single" w:sz="4" w:space="0" w:color="auto"/>
                    <w:bottom w:val="single" w:sz="4" w:space="0" w:color="auto"/>
                    <w:right w:val="single" w:sz="4" w:space="0" w:color="auto"/>
                  </w:tcBorders>
                  <w:hideMark/>
                </w:tcPr>
                <w:p w14:paraId="62FDCC82" w14:textId="77777777" w:rsidR="00936637" w:rsidRPr="00997B81" w:rsidRDefault="00936637" w:rsidP="00DA2F46">
                  <w:pPr>
                    <w:jc w:val="center"/>
                    <w:rPr>
                      <w:rFonts w:cs="Arial"/>
                      <w:bCs/>
                      <w:sz w:val="22"/>
                      <w:szCs w:val="22"/>
                    </w:rPr>
                  </w:pPr>
                  <w:r w:rsidRPr="00997B81">
                    <w:rPr>
                      <w:rFonts w:cs="Arial"/>
                      <w:bCs/>
                      <w:sz w:val="22"/>
                      <w:szCs w:val="22"/>
                    </w:rPr>
                    <w:t>1,145</w:t>
                  </w:r>
                </w:p>
              </w:tc>
              <w:tc>
                <w:tcPr>
                  <w:tcW w:w="3543" w:type="dxa"/>
                  <w:tcBorders>
                    <w:top w:val="single" w:sz="4" w:space="0" w:color="auto"/>
                    <w:left w:val="single" w:sz="4" w:space="0" w:color="auto"/>
                    <w:bottom w:val="single" w:sz="4" w:space="0" w:color="auto"/>
                    <w:right w:val="single" w:sz="4" w:space="0" w:color="auto"/>
                  </w:tcBorders>
                  <w:hideMark/>
                </w:tcPr>
                <w:p w14:paraId="3D9B7F14" w14:textId="77777777" w:rsidR="00936637" w:rsidRPr="00997B81" w:rsidRDefault="00936637" w:rsidP="00DA2F46">
                  <w:pPr>
                    <w:jc w:val="center"/>
                    <w:rPr>
                      <w:rFonts w:cs="Arial"/>
                      <w:bCs/>
                      <w:sz w:val="22"/>
                      <w:szCs w:val="22"/>
                    </w:rPr>
                  </w:pPr>
                  <w:r w:rsidRPr="00997B81">
                    <w:rPr>
                      <w:rFonts w:cs="Arial"/>
                      <w:bCs/>
                      <w:sz w:val="22"/>
                      <w:szCs w:val="22"/>
                    </w:rPr>
                    <w:t>11.98</w:t>
                  </w:r>
                </w:p>
              </w:tc>
            </w:tr>
            <w:tr w:rsidR="00936637" w:rsidRPr="00997B81" w14:paraId="1A8CFD40" w14:textId="77777777" w:rsidTr="00DA2F46">
              <w:tc>
                <w:tcPr>
                  <w:tcW w:w="1518" w:type="dxa"/>
                  <w:tcBorders>
                    <w:top w:val="single" w:sz="4" w:space="0" w:color="auto"/>
                    <w:left w:val="single" w:sz="4" w:space="0" w:color="auto"/>
                    <w:bottom w:val="single" w:sz="4" w:space="0" w:color="auto"/>
                    <w:right w:val="single" w:sz="4" w:space="0" w:color="auto"/>
                  </w:tcBorders>
                  <w:hideMark/>
                </w:tcPr>
                <w:p w14:paraId="357839C7" w14:textId="77777777" w:rsidR="00936637" w:rsidRPr="00997B81" w:rsidRDefault="00936637" w:rsidP="00DA2F46">
                  <w:pPr>
                    <w:rPr>
                      <w:rFonts w:cs="Arial"/>
                      <w:b/>
                      <w:bCs/>
                      <w:sz w:val="22"/>
                      <w:szCs w:val="22"/>
                    </w:rPr>
                  </w:pPr>
                  <w:r w:rsidRPr="00997B81">
                    <w:rPr>
                      <w:rFonts w:cs="Arial"/>
                      <w:b/>
                      <w:bCs/>
                      <w:sz w:val="22"/>
                      <w:szCs w:val="22"/>
                    </w:rPr>
                    <w:t>Opiate</w:t>
                  </w:r>
                </w:p>
              </w:tc>
              <w:tc>
                <w:tcPr>
                  <w:tcW w:w="2735" w:type="dxa"/>
                  <w:tcBorders>
                    <w:top w:val="single" w:sz="4" w:space="0" w:color="auto"/>
                    <w:left w:val="single" w:sz="4" w:space="0" w:color="auto"/>
                    <w:bottom w:val="single" w:sz="4" w:space="0" w:color="auto"/>
                    <w:right w:val="single" w:sz="4" w:space="0" w:color="auto"/>
                  </w:tcBorders>
                  <w:hideMark/>
                </w:tcPr>
                <w:p w14:paraId="604D4ED9" w14:textId="77777777" w:rsidR="00936637" w:rsidRPr="00997B81" w:rsidRDefault="00936637" w:rsidP="00DA2F46">
                  <w:pPr>
                    <w:jc w:val="center"/>
                    <w:rPr>
                      <w:rFonts w:cs="Arial"/>
                      <w:bCs/>
                      <w:sz w:val="22"/>
                      <w:szCs w:val="22"/>
                    </w:rPr>
                  </w:pPr>
                  <w:r w:rsidRPr="00997B81">
                    <w:rPr>
                      <w:rFonts w:cs="Arial"/>
                      <w:bCs/>
                      <w:sz w:val="22"/>
                      <w:szCs w:val="22"/>
                    </w:rPr>
                    <w:t>969</w:t>
                  </w:r>
                </w:p>
              </w:tc>
              <w:tc>
                <w:tcPr>
                  <w:tcW w:w="3543" w:type="dxa"/>
                  <w:tcBorders>
                    <w:top w:val="single" w:sz="4" w:space="0" w:color="auto"/>
                    <w:left w:val="single" w:sz="4" w:space="0" w:color="auto"/>
                    <w:bottom w:val="single" w:sz="4" w:space="0" w:color="auto"/>
                    <w:right w:val="single" w:sz="4" w:space="0" w:color="auto"/>
                  </w:tcBorders>
                  <w:hideMark/>
                </w:tcPr>
                <w:p w14:paraId="10D6C695" w14:textId="77777777" w:rsidR="00936637" w:rsidRPr="00997B81" w:rsidRDefault="00936637" w:rsidP="00DA2F46">
                  <w:pPr>
                    <w:jc w:val="center"/>
                    <w:rPr>
                      <w:rFonts w:cs="Arial"/>
                      <w:bCs/>
                      <w:sz w:val="22"/>
                      <w:szCs w:val="22"/>
                    </w:rPr>
                  </w:pPr>
                  <w:r w:rsidRPr="00997B81">
                    <w:rPr>
                      <w:rFonts w:cs="Arial"/>
                      <w:bCs/>
                      <w:sz w:val="22"/>
                      <w:szCs w:val="22"/>
                    </w:rPr>
                    <w:t>10.14</w:t>
                  </w:r>
                </w:p>
              </w:tc>
            </w:tr>
            <w:tr w:rsidR="00936637" w:rsidRPr="00997B81" w14:paraId="312FFF08" w14:textId="77777777" w:rsidTr="00DA2F46">
              <w:tc>
                <w:tcPr>
                  <w:tcW w:w="1518" w:type="dxa"/>
                  <w:tcBorders>
                    <w:top w:val="single" w:sz="4" w:space="0" w:color="auto"/>
                    <w:left w:val="single" w:sz="4" w:space="0" w:color="auto"/>
                    <w:bottom w:val="single" w:sz="4" w:space="0" w:color="auto"/>
                    <w:right w:val="single" w:sz="4" w:space="0" w:color="auto"/>
                  </w:tcBorders>
                  <w:hideMark/>
                </w:tcPr>
                <w:p w14:paraId="2DDC3FCA" w14:textId="77777777" w:rsidR="00936637" w:rsidRPr="00997B81" w:rsidRDefault="00936637" w:rsidP="00DA2F46">
                  <w:pPr>
                    <w:rPr>
                      <w:rFonts w:cs="Arial"/>
                      <w:b/>
                      <w:bCs/>
                      <w:sz w:val="22"/>
                      <w:szCs w:val="22"/>
                    </w:rPr>
                  </w:pPr>
                  <w:r w:rsidRPr="00997B81">
                    <w:rPr>
                      <w:rFonts w:cs="Arial"/>
                      <w:b/>
                      <w:bCs/>
                      <w:sz w:val="22"/>
                      <w:szCs w:val="22"/>
                    </w:rPr>
                    <w:lastRenderedPageBreak/>
                    <w:t xml:space="preserve">Crack </w:t>
                  </w:r>
                </w:p>
              </w:tc>
              <w:tc>
                <w:tcPr>
                  <w:tcW w:w="2735" w:type="dxa"/>
                  <w:tcBorders>
                    <w:top w:val="single" w:sz="4" w:space="0" w:color="auto"/>
                    <w:left w:val="single" w:sz="4" w:space="0" w:color="auto"/>
                    <w:bottom w:val="single" w:sz="4" w:space="0" w:color="auto"/>
                    <w:right w:val="single" w:sz="4" w:space="0" w:color="auto"/>
                  </w:tcBorders>
                  <w:hideMark/>
                </w:tcPr>
                <w:p w14:paraId="7588036B" w14:textId="77777777" w:rsidR="00936637" w:rsidRPr="00997B81" w:rsidRDefault="00936637" w:rsidP="00DA2F46">
                  <w:pPr>
                    <w:jc w:val="center"/>
                    <w:rPr>
                      <w:rFonts w:cs="Arial"/>
                      <w:bCs/>
                      <w:sz w:val="22"/>
                      <w:szCs w:val="22"/>
                    </w:rPr>
                  </w:pPr>
                  <w:r w:rsidRPr="00997B81">
                    <w:rPr>
                      <w:rFonts w:cs="Arial"/>
                      <w:bCs/>
                      <w:sz w:val="22"/>
                      <w:szCs w:val="22"/>
                    </w:rPr>
                    <w:t>646</w:t>
                  </w:r>
                </w:p>
              </w:tc>
              <w:tc>
                <w:tcPr>
                  <w:tcW w:w="3543" w:type="dxa"/>
                  <w:tcBorders>
                    <w:top w:val="single" w:sz="4" w:space="0" w:color="auto"/>
                    <w:left w:val="single" w:sz="4" w:space="0" w:color="auto"/>
                    <w:bottom w:val="single" w:sz="4" w:space="0" w:color="auto"/>
                    <w:right w:val="single" w:sz="4" w:space="0" w:color="auto"/>
                  </w:tcBorders>
                  <w:hideMark/>
                </w:tcPr>
                <w:p w14:paraId="7DF8144E" w14:textId="77777777" w:rsidR="00936637" w:rsidRPr="00997B81" w:rsidRDefault="00936637" w:rsidP="00DA2F46">
                  <w:pPr>
                    <w:jc w:val="center"/>
                    <w:rPr>
                      <w:rFonts w:cs="Arial"/>
                      <w:bCs/>
                      <w:sz w:val="22"/>
                      <w:szCs w:val="22"/>
                    </w:rPr>
                  </w:pPr>
                  <w:r w:rsidRPr="00997B81">
                    <w:rPr>
                      <w:rFonts w:cs="Arial"/>
                      <w:bCs/>
                      <w:sz w:val="22"/>
                      <w:szCs w:val="22"/>
                    </w:rPr>
                    <w:t>6.76</w:t>
                  </w:r>
                </w:p>
              </w:tc>
            </w:tr>
          </w:tbl>
          <w:p w14:paraId="195791C7" w14:textId="77777777" w:rsidR="00936637" w:rsidRPr="00997B81" w:rsidRDefault="00936637" w:rsidP="00DA2F46">
            <w:pPr>
              <w:rPr>
                <w:rFonts w:cs="Arial"/>
                <w:bCs/>
                <w:sz w:val="22"/>
                <w:szCs w:val="22"/>
              </w:rPr>
            </w:pPr>
          </w:p>
          <w:p w14:paraId="4F8037CA" w14:textId="77777777" w:rsidR="00936637" w:rsidRPr="00997B81" w:rsidRDefault="00936637" w:rsidP="00DA2F46">
            <w:pPr>
              <w:rPr>
                <w:rFonts w:cs="Arial"/>
                <w:b/>
                <w:sz w:val="22"/>
                <w:szCs w:val="22"/>
              </w:rPr>
            </w:pPr>
            <w:r w:rsidRPr="00997B81">
              <w:rPr>
                <w:rFonts w:cs="Arial"/>
                <w:b/>
                <w:sz w:val="22"/>
                <w:szCs w:val="22"/>
              </w:rPr>
              <w:t>Unmet need for Opiate and/or crack users (OCU) within Knowsley:</w:t>
            </w:r>
          </w:p>
          <w:p w14:paraId="04E91894" w14:textId="77777777" w:rsidR="00936637" w:rsidRPr="00997B81" w:rsidRDefault="00936637" w:rsidP="00DA2F46">
            <w:pPr>
              <w:rPr>
                <w:rFonts w:cs="Arial"/>
                <w:bCs/>
                <w:sz w:val="22"/>
                <w:szCs w:val="22"/>
              </w:rPr>
            </w:pPr>
          </w:p>
          <w:p w14:paraId="7D609138" w14:textId="77777777" w:rsidR="00936637" w:rsidRPr="00997B81" w:rsidRDefault="00936637" w:rsidP="00DA2F46">
            <w:pPr>
              <w:rPr>
                <w:rFonts w:cs="Arial"/>
                <w:bCs/>
                <w:sz w:val="22"/>
                <w:szCs w:val="22"/>
              </w:rPr>
            </w:pPr>
          </w:p>
          <w:tbl>
            <w:tblPr>
              <w:tblW w:w="89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60"/>
              <w:gridCol w:w="1201"/>
              <w:gridCol w:w="1201"/>
              <w:gridCol w:w="1201"/>
              <w:gridCol w:w="1201"/>
              <w:gridCol w:w="1201"/>
            </w:tblGrid>
            <w:tr w:rsidR="00936637" w:rsidRPr="00997B81" w14:paraId="6EA0B4FE" w14:textId="77777777" w:rsidTr="00DA2F46">
              <w:tc>
                <w:tcPr>
                  <w:tcW w:w="2960"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7CB01F08" w14:textId="77777777" w:rsidR="00936637" w:rsidRPr="00997B81" w:rsidRDefault="00936637" w:rsidP="00DA2F46">
                  <w:pPr>
                    <w:jc w:val="center"/>
                    <w:rPr>
                      <w:rFonts w:cs="Arial"/>
                      <w:b/>
                      <w:bCs/>
                      <w:color w:val="FFFFFF"/>
                      <w:sz w:val="22"/>
                      <w:szCs w:val="22"/>
                      <w:lang w:eastAsia="en-GB"/>
                    </w:rPr>
                  </w:pPr>
                  <w:r w:rsidRPr="00997B81">
                    <w:rPr>
                      <w:rFonts w:cs="Arial"/>
                      <w:b/>
                      <w:bCs/>
                      <w:color w:val="FFFFFF"/>
                      <w:sz w:val="22"/>
                      <w:szCs w:val="22"/>
                      <w:lang w:eastAsia="en-GB"/>
                    </w:rPr>
                    <w:t>Unmet need</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0BA36255" w14:textId="77777777" w:rsidR="00936637" w:rsidRPr="00997B81" w:rsidRDefault="00936637" w:rsidP="00DA2F46">
                  <w:pPr>
                    <w:jc w:val="center"/>
                    <w:rPr>
                      <w:rFonts w:cs="Arial"/>
                      <w:b/>
                      <w:bCs/>
                      <w:color w:val="FFFFFF"/>
                      <w:sz w:val="22"/>
                      <w:szCs w:val="22"/>
                      <w:lang w:eastAsia="en-GB"/>
                    </w:rPr>
                  </w:pPr>
                  <w:r w:rsidRPr="00997B81">
                    <w:rPr>
                      <w:rFonts w:cs="Arial"/>
                      <w:b/>
                      <w:bCs/>
                      <w:color w:val="FFFFFF"/>
                      <w:sz w:val="22"/>
                      <w:szCs w:val="22"/>
                      <w:lang w:eastAsia="en-GB"/>
                    </w:rPr>
                    <w:t xml:space="preserve">2017/18 (%) </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16000410" w14:textId="77777777" w:rsidR="00936637" w:rsidRPr="00997B81" w:rsidRDefault="00936637" w:rsidP="00DA2F46">
                  <w:pPr>
                    <w:jc w:val="center"/>
                    <w:rPr>
                      <w:rFonts w:cs="Arial"/>
                      <w:b/>
                      <w:bCs/>
                      <w:color w:val="FFFFFF"/>
                      <w:sz w:val="22"/>
                      <w:szCs w:val="22"/>
                      <w:lang w:eastAsia="en-GB"/>
                    </w:rPr>
                  </w:pPr>
                  <w:r w:rsidRPr="00997B81">
                    <w:rPr>
                      <w:rFonts w:cs="Arial"/>
                      <w:b/>
                      <w:bCs/>
                      <w:color w:val="FFFFFF"/>
                      <w:sz w:val="22"/>
                      <w:szCs w:val="22"/>
                      <w:lang w:eastAsia="en-GB"/>
                    </w:rPr>
                    <w:t xml:space="preserve">2018/19 (%) </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19A8A199" w14:textId="77777777" w:rsidR="00936637" w:rsidRPr="00997B81" w:rsidRDefault="00936637" w:rsidP="00DA2F46">
                  <w:pPr>
                    <w:jc w:val="center"/>
                    <w:rPr>
                      <w:rFonts w:cs="Arial"/>
                      <w:b/>
                      <w:bCs/>
                      <w:color w:val="FFFFFF"/>
                      <w:sz w:val="22"/>
                      <w:szCs w:val="22"/>
                      <w:lang w:eastAsia="en-GB"/>
                    </w:rPr>
                  </w:pPr>
                  <w:r w:rsidRPr="00997B81">
                    <w:rPr>
                      <w:rFonts w:cs="Arial"/>
                      <w:b/>
                      <w:bCs/>
                      <w:color w:val="FFFFFF"/>
                      <w:sz w:val="22"/>
                      <w:szCs w:val="22"/>
                      <w:lang w:eastAsia="en-GB"/>
                    </w:rPr>
                    <w:t xml:space="preserve">2019/20 (%) </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754C1E81" w14:textId="77777777" w:rsidR="00936637" w:rsidRPr="00997B81" w:rsidRDefault="00936637" w:rsidP="00DA2F46">
                  <w:pPr>
                    <w:jc w:val="center"/>
                    <w:rPr>
                      <w:rFonts w:cs="Arial"/>
                      <w:b/>
                      <w:bCs/>
                      <w:color w:val="FFFFFF"/>
                      <w:sz w:val="22"/>
                      <w:szCs w:val="22"/>
                      <w:lang w:eastAsia="en-GB"/>
                    </w:rPr>
                  </w:pPr>
                  <w:r w:rsidRPr="00997B81">
                    <w:rPr>
                      <w:rFonts w:cs="Arial"/>
                      <w:b/>
                      <w:bCs/>
                      <w:color w:val="FFFFFF"/>
                      <w:sz w:val="22"/>
                      <w:szCs w:val="22"/>
                      <w:lang w:eastAsia="en-GB"/>
                    </w:rPr>
                    <w:t xml:space="preserve">2020/21 (%) </w:t>
                  </w:r>
                </w:p>
              </w:tc>
              <w:tc>
                <w:tcPr>
                  <w:tcW w:w="1201" w:type="dxa"/>
                  <w:tcBorders>
                    <w:top w:val="single" w:sz="6" w:space="0" w:color="3C5A98"/>
                    <w:left w:val="single" w:sz="6" w:space="0" w:color="3C5A98"/>
                    <w:bottom w:val="single" w:sz="6" w:space="0" w:color="3C5A98"/>
                    <w:right w:val="single" w:sz="6" w:space="0" w:color="3C5A98"/>
                  </w:tcBorders>
                  <w:shd w:val="clear" w:color="auto" w:fill="0B476B"/>
                  <w:tcMar>
                    <w:top w:w="0" w:type="dxa"/>
                    <w:left w:w="105" w:type="dxa"/>
                    <w:bottom w:w="30" w:type="dxa"/>
                    <w:right w:w="105" w:type="dxa"/>
                  </w:tcMar>
                  <w:hideMark/>
                </w:tcPr>
                <w:p w14:paraId="043B3659" w14:textId="77777777" w:rsidR="00936637" w:rsidRPr="00997B81" w:rsidRDefault="00936637" w:rsidP="00DA2F46">
                  <w:pPr>
                    <w:jc w:val="center"/>
                    <w:rPr>
                      <w:rFonts w:cs="Arial"/>
                      <w:b/>
                      <w:bCs/>
                      <w:color w:val="FFFFFF"/>
                      <w:sz w:val="22"/>
                      <w:szCs w:val="22"/>
                      <w:lang w:eastAsia="en-GB"/>
                    </w:rPr>
                  </w:pPr>
                  <w:r w:rsidRPr="00997B81">
                    <w:rPr>
                      <w:rFonts w:cs="Arial"/>
                      <w:b/>
                      <w:bCs/>
                      <w:color w:val="FFFFFF"/>
                      <w:sz w:val="22"/>
                      <w:szCs w:val="22"/>
                      <w:lang w:eastAsia="en-GB"/>
                    </w:rPr>
                    <w:t xml:space="preserve">2021/22 (%) </w:t>
                  </w:r>
                </w:p>
              </w:tc>
            </w:tr>
            <w:tr w:rsidR="00936637" w:rsidRPr="00997B81" w14:paraId="3AFA3AAA" w14:textId="77777777" w:rsidTr="00DA2F46">
              <w:tc>
                <w:tcPr>
                  <w:tcW w:w="2960"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264C6B1D"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Not in treatment (% is a point estimate)</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5CB5EE4E"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52</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4A841E12"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53</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49827C6B"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55</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2DEBF395"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56</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4FEC6562"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w:t>
                  </w:r>
                </w:p>
              </w:tc>
            </w:tr>
            <w:tr w:rsidR="00936637" w:rsidRPr="00997B81" w14:paraId="0CC198B1" w14:textId="77777777" w:rsidTr="00DA2F46">
              <w:tc>
                <w:tcPr>
                  <w:tcW w:w="2960"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2CA97256"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In treatment (% is derived from a point estimate)</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7B941A44"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48</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7BC0986A"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47</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26A40223"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45</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7CF2B448"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44</w:t>
                  </w:r>
                </w:p>
              </w:tc>
              <w:tc>
                <w:tcPr>
                  <w:tcW w:w="1201" w:type="dxa"/>
                  <w:tcBorders>
                    <w:top w:val="single" w:sz="6" w:space="0" w:color="3C5A98"/>
                    <w:left w:val="single" w:sz="6" w:space="0" w:color="3C5A98"/>
                    <w:bottom w:val="single" w:sz="6" w:space="0" w:color="3C5A98"/>
                    <w:right w:val="single" w:sz="6" w:space="0" w:color="3C5A98"/>
                  </w:tcBorders>
                  <w:shd w:val="clear" w:color="auto" w:fill="FFFFFF"/>
                  <w:tcMar>
                    <w:top w:w="0" w:type="dxa"/>
                    <w:left w:w="105" w:type="dxa"/>
                    <w:bottom w:w="30" w:type="dxa"/>
                    <w:right w:w="105" w:type="dxa"/>
                  </w:tcMar>
                  <w:vAlign w:val="center"/>
                  <w:hideMark/>
                </w:tcPr>
                <w:p w14:paraId="05FB1782" w14:textId="77777777" w:rsidR="00936637" w:rsidRPr="00997B81" w:rsidRDefault="00936637" w:rsidP="00DA2F46">
                  <w:pPr>
                    <w:jc w:val="center"/>
                    <w:rPr>
                      <w:rFonts w:cs="Arial"/>
                      <w:color w:val="000000"/>
                      <w:sz w:val="22"/>
                      <w:szCs w:val="22"/>
                      <w:lang w:eastAsia="en-GB"/>
                    </w:rPr>
                  </w:pPr>
                  <w:r w:rsidRPr="00997B81">
                    <w:rPr>
                      <w:rFonts w:cs="Arial"/>
                      <w:color w:val="000000"/>
                      <w:sz w:val="22"/>
                      <w:szCs w:val="22"/>
                      <w:lang w:eastAsia="en-GB"/>
                    </w:rPr>
                    <w:t>-</w:t>
                  </w:r>
                </w:p>
              </w:tc>
            </w:tr>
          </w:tbl>
          <w:p w14:paraId="7A0B7632" w14:textId="77777777" w:rsidR="00936637" w:rsidRPr="00997B81" w:rsidRDefault="00936637" w:rsidP="00DA2F46">
            <w:pPr>
              <w:rPr>
                <w:rFonts w:cs="Arial"/>
                <w:bCs/>
                <w:sz w:val="22"/>
                <w:szCs w:val="22"/>
              </w:rPr>
            </w:pPr>
          </w:p>
          <w:p w14:paraId="24C24956" w14:textId="77777777" w:rsidR="00936637" w:rsidRPr="00997B81" w:rsidRDefault="00936637" w:rsidP="00DA2F46">
            <w:pPr>
              <w:rPr>
                <w:rFonts w:cs="Arial"/>
                <w:bCs/>
                <w:sz w:val="22"/>
                <w:szCs w:val="22"/>
              </w:rPr>
            </w:pPr>
            <w:r w:rsidRPr="00997B81">
              <w:rPr>
                <w:rFonts w:cs="Arial"/>
                <w:bCs/>
                <w:sz w:val="22"/>
                <w:szCs w:val="22"/>
              </w:rPr>
              <w:t xml:space="preserve">Unmet need data across OCU in Knowsley provides prevalence estimates </w:t>
            </w:r>
            <w:r w:rsidRPr="00997B81">
              <w:rPr>
                <w:rFonts w:cs="Arial"/>
                <w:color w:val="000000"/>
                <w:sz w:val="22"/>
                <w:szCs w:val="22"/>
                <w:shd w:val="clear" w:color="auto" w:fill="FFFFFF"/>
              </w:rPr>
              <w:t>of the number of opiate and/or crack users that are in need of specialist treatment and the rate of unmet need gives the proportion of those not currently in treatment. Prevalence data of OCU users past 2016/17 are not available yet the rate of unmet need figures between 2017/2018 -2020-21 have been estimated using the available OCU 2016/17 prevalence estimates.</w:t>
            </w:r>
          </w:p>
          <w:p w14:paraId="4C8434BE" w14:textId="77777777" w:rsidR="00936637" w:rsidRPr="00997B81" w:rsidRDefault="00936637" w:rsidP="00DA2F46">
            <w:pPr>
              <w:rPr>
                <w:rFonts w:cs="Arial"/>
                <w:bCs/>
                <w:sz w:val="22"/>
                <w:szCs w:val="22"/>
              </w:rPr>
            </w:pPr>
          </w:p>
          <w:p w14:paraId="06E84853" w14:textId="77777777" w:rsidR="00936637" w:rsidRPr="00997B81" w:rsidRDefault="00936637" w:rsidP="00DA2F46">
            <w:pPr>
              <w:overflowPunct w:val="0"/>
              <w:rPr>
                <w:rFonts w:cs="Arial"/>
                <w:b/>
                <w:bCs/>
                <w:sz w:val="22"/>
                <w:szCs w:val="22"/>
              </w:rPr>
            </w:pPr>
          </w:p>
        </w:tc>
      </w:tr>
      <w:tr w:rsidR="00936637" w:rsidRPr="00997B81" w14:paraId="16E9F0CE" w14:textId="77777777" w:rsidTr="00DA2F46">
        <w:tc>
          <w:tcPr>
            <w:tcW w:w="9990" w:type="dxa"/>
            <w:tcBorders>
              <w:top w:val="single" w:sz="4" w:space="0" w:color="999999"/>
              <w:left w:val="single" w:sz="4" w:space="0" w:color="999999"/>
              <w:bottom w:val="single" w:sz="4" w:space="0" w:color="999999"/>
              <w:right w:val="single" w:sz="4" w:space="0" w:color="999999"/>
            </w:tcBorders>
            <w:shd w:val="clear" w:color="auto" w:fill="666666"/>
          </w:tcPr>
          <w:p w14:paraId="50A229EB" w14:textId="77777777" w:rsidR="00936637" w:rsidRPr="00997B81" w:rsidRDefault="00936637" w:rsidP="00DA2F46">
            <w:pPr>
              <w:pStyle w:val="BodyText"/>
              <w:jc w:val="both"/>
              <w:rPr>
                <w:rFonts w:cs="Arial"/>
                <w:b/>
                <w:color w:val="FFFFFF"/>
                <w:szCs w:val="22"/>
              </w:rPr>
            </w:pPr>
          </w:p>
          <w:p w14:paraId="782EF528" w14:textId="77777777" w:rsidR="00936637" w:rsidRPr="00997B81" w:rsidRDefault="00936637" w:rsidP="00DA2F46">
            <w:pPr>
              <w:pStyle w:val="BodyText"/>
              <w:jc w:val="both"/>
              <w:rPr>
                <w:rFonts w:cs="Arial"/>
                <w:b/>
                <w:color w:val="FFFFFF"/>
                <w:szCs w:val="22"/>
              </w:rPr>
            </w:pPr>
            <w:r w:rsidRPr="00997B81">
              <w:rPr>
                <w:rFonts w:cs="Arial"/>
                <w:b/>
                <w:color w:val="FFFFFF"/>
                <w:szCs w:val="22"/>
              </w:rPr>
              <w:t>2. Key Service Outcomes</w:t>
            </w:r>
          </w:p>
          <w:p w14:paraId="3C80091A" w14:textId="77777777" w:rsidR="00936637" w:rsidRPr="00997B81" w:rsidRDefault="00936637" w:rsidP="00DA2F46">
            <w:pPr>
              <w:pStyle w:val="BodyText"/>
              <w:jc w:val="both"/>
              <w:rPr>
                <w:rFonts w:cs="Arial"/>
                <w:b/>
                <w:color w:val="FFFFFF"/>
                <w:szCs w:val="22"/>
                <w:u w:val="single"/>
              </w:rPr>
            </w:pPr>
          </w:p>
        </w:tc>
      </w:tr>
      <w:tr w:rsidR="00936637" w:rsidRPr="00997B81" w14:paraId="4760715B" w14:textId="77777777" w:rsidTr="00DA2F46">
        <w:tc>
          <w:tcPr>
            <w:tcW w:w="9990" w:type="dxa"/>
            <w:tcBorders>
              <w:top w:val="single" w:sz="4" w:space="0" w:color="999999"/>
              <w:left w:val="single" w:sz="4" w:space="0" w:color="999999"/>
              <w:bottom w:val="single" w:sz="4" w:space="0" w:color="999999"/>
              <w:right w:val="single" w:sz="4" w:space="0" w:color="999999"/>
            </w:tcBorders>
          </w:tcPr>
          <w:p w14:paraId="27C7D7D1" w14:textId="77777777" w:rsidR="00936637" w:rsidRPr="00997B81" w:rsidRDefault="00936637" w:rsidP="00DA2F46">
            <w:pPr>
              <w:pStyle w:val="BodyText"/>
              <w:jc w:val="both"/>
              <w:rPr>
                <w:rFonts w:cs="Arial"/>
                <w:bCs/>
                <w:szCs w:val="22"/>
              </w:rPr>
            </w:pPr>
          </w:p>
          <w:p w14:paraId="38AF439E" w14:textId="77777777" w:rsidR="00936637" w:rsidRPr="00997B81" w:rsidRDefault="00936637" w:rsidP="00DA2F46">
            <w:pPr>
              <w:suppressAutoHyphens w:val="0"/>
              <w:rPr>
                <w:rFonts w:cs="Arial"/>
                <w:bCs/>
                <w:sz w:val="22"/>
                <w:szCs w:val="22"/>
              </w:rPr>
            </w:pPr>
            <w:r w:rsidRPr="00997B81">
              <w:rPr>
                <w:rFonts w:cs="Arial"/>
                <w:bCs/>
                <w:sz w:val="22"/>
                <w:szCs w:val="22"/>
              </w:rPr>
              <w:t>See aims and objectives below.</w:t>
            </w:r>
          </w:p>
          <w:p w14:paraId="36C1E44F" w14:textId="77777777" w:rsidR="00936637" w:rsidRPr="00997B81" w:rsidRDefault="00936637" w:rsidP="00DA2F46">
            <w:pPr>
              <w:pStyle w:val="BodyText"/>
              <w:jc w:val="both"/>
              <w:rPr>
                <w:rFonts w:cs="Arial"/>
                <w:bCs/>
                <w:szCs w:val="22"/>
              </w:rPr>
            </w:pPr>
          </w:p>
        </w:tc>
      </w:tr>
      <w:tr w:rsidR="00936637" w:rsidRPr="00997B81" w14:paraId="60DCAAE6" w14:textId="77777777" w:rsidTr="00DA2F46">
        <w:tc>
          <w:tcPr>
            <w:tcW w:w="9990" w:type="dxa"/>
            <w:tcBorders>
              <w:top w:val="single" w:sz="4" w:space="0" w:color="999999"/>
              <w:left w:val="single" w:sz="4" w:space="0" w:color="999999"/>
              <w:bottom w:val="single" w:sz="4" w:space="0" w:color="999999"/>
              <w:right w:val="single" w:sz="4" w:space="0" w:color="999999"/>
            </w:tcBorders>
            <w:shd w:val="clear" w:color="auto" w:fill="666666"/>
          </w:tcPr>
          <w:p w14:paraId="59E994E9" w14:textId="77777777" w:rsidR="00936637" w:rsidRPr="00997B81" w:rsidRDefault="00936637" w:rsidP="00DA2F46">
            <w:pPr>
              <w:pStyle w:val="BodyText"/>
              <w:jc w:val="both"/>
              <w:rPr>
                <w:rFonts w:cs="Arial"/>
                <w:b/>
                <w:color w:val="FFFFFF"/>
                <w:szCs w:val="22"/>
                <w:u w:val="single"/>
              </w:rPr>
            </w:pPr>
          </w:p>
          <w:p w14:paraId="71029B37" w14:textId="77777777" w:rsidR="00936637" w:rsidRPr="00997B81" w:rsidRDefault="00936637" w:rsidP="00DA2F46">
            <w:pPr>
              <w:pStyle w:val="BodyText"/>
              <w:jc w:val="both"/>
              <w:rPr>
                <w:rFonts w:cs="Arial"/>
                <w:b/>
                <w:color w:val="FFFFFF"/>
                <w:szCs w:val="22"/>
              </w:rPr>
            </w:pPr>
            <w:r w:rsidRPr="00997B81">
              <w:rPr>
                <w:rFonts w:cs="Arial"/>
                <w:b/>
                <w:color w:val="FFFFFF"/>
                <w:szCs w:val="22"/>
              </w:rPr>
              <w:t>3. Scope</w:t>
            </w:r>
          </w:p>
          <w:p w14:paraId="0C096E64" w14:textId="77777777" w:rsidR="00936637" w:rsidRPr="00997B81" w:rsidRDefault="00936637" w:rsidP="00DA2F46">
            <w:pPr>
              <w:pStyle w:val="BodyText"/>
              <w:jc w:val="both"/>
              <w:rPr>
                <w:rFonts w:cs="Arial"/>
                <w:b/>
                <w:color w:val="FFFFFF"/>
                <w:szCs w:val="22"/>
                <w:u w:val="single"/>
              </w:rPr>
            </w:pPr>
          </w:p>
        </w:tc>
      </w:tr>
      <w:tr w:rsidR="00936637" w:rsidRPr="00997B81" w14:paraId="44D2F919" w14:textId="77777777" w:rsidTr="00DA2F46">
        <w:tc>
          <w:tcPr>
            <w:tcW w:w="9990" w:type="dxa"/>
            <w:tcBorders>
              <w:top w:val="single" w:sz="4" w:space="0" w:color="999999"/>
              <w:left w:val="single" w:sz="4" w:space="0" w:color="999999"/>
              <w:bottom w:val="single" w:sz="4" w:space="0" w:color="999999"/>
              <w:right w:val="single" w:sz="4" w:space="0" w:color="999999"/>
            </w:tcBorders>
          </w:tcPr>
          <w:p w14:paraId="0C9518B8" w14:textId="77777777" w:rsidR="00936637" w:rsidRPr="00997B81" w:rsidRDefault="00936637" w:rsidP="00DA2F46">
            <w:pPr>
              <w:suppressAutoHyphens w:val="0"/>
              <w:rPr>
                <w:rFonts w:cs="Arial"/>
                <w:bCs/>
                <w:sz w:val="22"/>
                <w:szCs w:val="22"/>
              </w:rPr>
            </w:pPr>
          </w:p>
          <w:p w14:paraId="4EE1F22E" w14:textId="77777777" w:rsidR="00936637" w:rsidRPr="00997B81" w:rsidRDefault="00936637" w:rsidP="00DA2F46">
            <w:pPr>
              <w:suppressAutoHyphens w:val="0"/>
              <w:rPr>
                <w:rFonts w:cs="Arial"/>
                <w:b/>
                <w:bCs/>
                <w:sz w:val="22"/>
                <w:szCs w:val="22"/>
              </w:rPr>
            </w:pPr>
            <w:r w:rsidRPr="00997B81">
              <w:rPr>
                <w:rFonts w:cs="Arial"/>
                <w:b/>
                <w:bCs/>
                <w:sz w:val="22"/>
                <w:szCs w:val="22"/>
              </w:rPr>
              <w:t>3.1 Aims and objectives of service</w:t>
            </w:r>
          </w:p>
          <w:p w14:paraId="4D14B669" w14:textId="77777777" w:rsidR="00936637" w:rsidRPr="00997B81" w:rsidRDefault="00936637" w:rsidP="00DA2F46">
            <w:pPr>
              <w:suppressAutoHyphens w:val="0"/>
              <w:rPr>
                <w:rFonts w:cs="Arial"/>
                <w:bCs/>
                <w:sz w:val="22"/>
                <w:szCs w:val="22"/>
              </w:rPr>
            </w:pPr>
          </w:p>
          <w:p w14:paraId="2EA6C2F8" w14:textId="77777777" w:rsidR="00936637" w:rsidRPr="00997B81" w:rsidRDefault="00936637" w:rsidP="00DA2F46">
            <w:pPr>
              <w:suppressAutoHyphens w:val="0"/>
              <w:rPr>
                <w:rFonts w:cs="Arial"/>
                <w:bCs/>
                <w:sz w:val="22"/>
                <w:szCs w:val="22"/>
              </w:rPr>
            </w:pPr>
          </w:p>
          <w:p w14:paraId="4E92825A" w14:textId="77777777" w:rsidR="00936637" w:rsidRPr="00997B81" w:rsidRDefault="00936637" w:rsidP="00DA2F46">
            <w:pPr>
              <w:suppressAutoHyphens w:val="0"/>
              <w:rPr>
                <w:rFonts w:cs="Arial"/>
                <w:bCs/>
                <w:sz w:val="22"/>
                <w:szCs w:val="22"/>
              </w:rPr>
            </w:pPr>
            <w:r w:rsidRPr="00997B81">
              <w:rPr>
                <w:rFonts w:cs="Arial"/>
                <w:bCs/>
                <w:sz w:val="22"/>
                <w:szCs w:val="22"/>
              </w:rPr>
              <w:t>To ensure compliance with the agreed treatment plan by:</w:t>
            </w:r>
          </w:p>
          <w:p w14:paraId="659FA3DD" w14:textId="77777777" w:rsidR="00936637" w:rsidRPr="00997B81" w:rsidRDefault="00936637" w:rsidP="00936637">
            <w:pPr>
              <w:pStyle w:val="ListParagraph"/>
              <w:numPr>
                <w:ilvl w:val="0"/>
                <w:numId w:val="1"/>
              </w:numPr>
              <w:suppressAutoHyphens w:val="0"/>
              <w:rPr>
                <w:rFonts w:cs="Arial"/>
                <w:bCs/>
                <w:sz w:val="22"/>
                <w:szCs w:val="22"/>
              </w:rPr>
            </w:pPr>
            <w:r w:rsidRPr="00997B81">
              <w:rPr>
                <w:rFonts w:cs="Arial"/>
                <w:bCs/>
                <w:sz w:val="22"/>
                <w:szCs w:val="22"/>
              </w:rPr>
              <w:t>Dispensing in specified instalments</w:t>
            </w:r>
          </w:p>
          <w:p w14:paraId="385E4813" w14:textId="77777777" w:rsidR="00936637" w:rsidRPr="00997B81" w:rsidRDefault="00936637" w:rsidP="00936637">
            <w:pPr>
              <w:pStyle w:val="ListParagraph"/>
              <w:numPr>
                <w:ilvl w:val="0"/>
                <w:numId w:val="1"/>
              </w:numPr>
              <w:suppressAutoHyphens w:val="0"/>
              <w:rPr>
                <w:rFonts w:cs="Arial"/>
                <w:bCs/>
                <w:sz w:val="22"/>
                <w:szCs w:val="22"/>
              </w:rPr>
            </w:pPr>
            <w:r w:rsidRPr="00997B81">
              <w:rPr>
                <w:rFonts w:cs="Arial"/>
                <w:bCs/>
                <w:sz w:val="22"/>
                <w:szCs w:val="22"/>
              </w:rPr>
              <w:t>Ensuring each supervised dose is correctly consumed by the patient for whom it was intended.</w:t>
            </w:r>
          </w:p>
          <w:p w14:paraId="13FFE53C" w14:textId="77777777" w:rsidR="00936637" w:rsidRPr="00997B81" w:rsidRDefault="00936637" w:rsidP="00DA2F46">
            <w:pPr>
              <w:suppressAutoHyphens w:val="0"/>
              <w:rPr>
                <w:rFonts w:cs="Arial"/>
                <w:sz w:val="22"/>
                <w:szCs w:val="22"/>
              </w:rPr>
            </w:pPr>
          </w:p>
          <w:p w14:paraId="5B09EA97" w14:textId="77777777" w:rsidR="00936637" w:rsidRPr="00997B81" w:rsidRDefault="00936637" w:rsidP="00DA2F46">
            <w:pPr>
              <w:suppressAutoHyphens w:val="0"/>
              <w:rPr>
                <w:rFonts w:cs="Arial"/>
                <w:bCs/>
                <w:sz w:val="22"/>
                <w:szCs w:val="22"/>
              </w:rPr>
            </w:pPr>
            <w:r w:rsidRPr="00997B81">
              <w:rPr>
                <w:rFonts w:cs="Arial"/>
                <w:sz w:val="22"/>
                <w:szCs w:val="22"/>
              </w:rPr>
              <w:t xml:space="preserve">The pharmacy should maintain appropriate records of exchange activity to ensure effective ongoing service delivery and audit. All records will be recorded on the </w:t>
            </w:r>
            <w:proofErr w:type="spellStart"/>
            <w:r w:rsidRPr="00997B81">
              <w:rPr>
                <w:rFonts w:cs="Arial"/>
                <w:sz w:val="22"/>
                <w:szCs w:val="22"/>
              </w:rPr>
              <w:t>Pharmoutcomes</w:t>
            </w:r>
            <w:proofErr w:type="spellEnd"/>
            <w:r w:rsidRPr="00997B81">
              <w:rPr>
                <w:rFonts w:cs="Arial"/>
                <w:sz w:val="22"/>
                <w:szCs w:val="22"/>
              </w:rPr>
              <w:t xml:space="preserve"> system.</w:t>
            </w:r>
          </w:p>
          <w:p w14:paraId="26797AC0" w14:textId="77777777" w:rsidR="00936637" w:rsidRPr="00997B81" w:rsidRDefault="00936637" w:rsidP="00DA2F46">
            <w:pPr>
              <w:suppressAutoHyphens w:val="0"/>
              <w:rPr>
                <w:rFonts w:cs="Arial"/>
                <w:bCs/>
                <w:sz w:val="22"/>
                <w:szCs w:val="22"/>
              </w:rPr>
            </w:pPr>
          </w:p>
          <w:p w14:paraId="1D66CDB3" w14:textId="77777777" w:rsidR="00936637" w:rsidRPr="00997B81" w:rsidRDefault="00936637" w:rsidP="00DA2F46">
            <w:pPr>
              <w:suppressAutoHyphens w:val="0"/>
              <w:rPr>
                <w:rFonts w:cs="Arial"/>
                <w:bCs/>
                <w:sz w:val="22"/>
                <w:szCs w:val="22"/>
              </w:rPr>
            </w:pPr>
            <w:r w:rsidRPr="00997B81">
              <w:rPr>
                <w:rFonts w:cs="Arial"/>
                <w:bCs/>
                <w:sz w:val="22"/>
                <w:szCs w:val="22"/>
              </w:rPr>
              <w:t>To reduce the risk to local communities arising from:</w:t>
            </w:r>
          </w:p>
          <w:p w14:paraId="0BEE1D7A" w14:textId="77777777" w:rsidR="00936637" w:rsidRPr="00997B81" w:rsidRDefault="00936637" w:rsidP="00936637">
            <w:pPr>
              <w:pStyle w:val="ListParagraph"/>
              <w:numPr>
                <w:ilvl w:val="0"/>
                <w:numId w:val="2"/>
              </w:numPr>
              <w:suppressAutoHyphens w:val="0"/>
              <w:rPr>
                <w:rFonts w:cs="Arial"/>
                <w:bCs/>
                <w:sz w:val="22"/>
                <w:szCs w:val="22"/>
              </w:rPr>
            </w:pPr>
            <w:r w:rsidRPr="00997B81">
              <w:rPr>
                <w:rFonts w:cs="Arial"/>
                <w:bCs/>
                <w:sz w:val="22"/>
                <w:szCs w:val="22"/>
              </w:rPr>
              <w:t>Over usage or under usage of medicines</w:t>
            </w:r>
          </w:p>
          <w:p w14:paraId="48ED95CE" w14:textId="77777777" w:rsidR="00936637" w:rsidRPr="00997B81" w:rsidRDefault="00936637" w:rsidP="00936637">
            <w:pPr>
              <w:pStyle w:val="ListParagraph"/>
              <w:numPr>
                <w:ilvl w:val="0"/>
                <w:numId w:val="2"/>
              </w:numPr>
              <w:suppressAutoHyphens w:val="0"/>
              <w:rPr>
                <w:rFonts w:cs="Arial"/>
                <w:bCs/>
                <w:sz w:val="22"/>
                <w:szCs w:val="22"/>
              </w:rPr>
            </w:pPr>
            <w:r w:rsidRPr="00997B81">
              <w:rPr>
                <w:rFonts w:cs="Arial"/>
                <w:bCs/>
                <w:sz w:val="22"/>
                <w:szCs w:val="22"/>
              </w:rPr>
              <w:t>Diversion of prescribed medicines onto the illicit drugs market and accidental exposure to the supervised medicines</w:t>
            </w:r>
          </w:p>
          <w:p w14:paraId="5D98DA6C" w14:textId="77777777" w:rsidR="00936637" w:rsidRPr="00997B81" w:rsidRDefault="00936637" w:rsidP="00DA2F46">
            <w:pPr>
              <w:suppressAutoHyphens w:val="0"/>
              <w:rPr>
                <w:rFonts w:cs="Arial"/>
                <w:bCs/>
                <w:sz w:val="22"/>
                <w:szCs w:val="22"/>
              </w:rPr>
            </w:pPr>
          </w:p>
          <w:p w14:paraId="4C00523A" w14:textId="77777777" w:rsidR="00936637" w:rsidRPr="00997B81" w:rsidRDefault="00936637" w:rsidP="00DA2F46">
            <w:pPr>
              <w:suppressAutoHyphens w:val="0"/>
              <w:rPr>
                <w:rFonts w:cs="Arial"/>
                <w:bCs/>
                <w:sz w:val="22"/>
                <w:szCs w:val="22"/>
              </w:rPr>
            </w:pPr>
            <w:r w:rsidRPr="00997B81">
              <w:rPr>
                <w:rFonts w:cs="Arial"/>
                <w:bCs/>
                <w:sz w:val="22"/>
                <w:szCs w:val="22"/>
              </w:rPr>
              <w:t>To provide Service Users with regular contact with substance misuse professionals and to signpost them to access further advice or assistance.</w:t>
            </w:r>
          </w:p>
          <w:p w14:paraId="435F519D" w14:textId="77777777" w:rsidR="00936637" w:rsidRPr="00997B81" w:rsidRDefault="00936637" w:rsidP="00DA2F46">
            <w:pPr>
              <w:suppressAutoHyphens w:val="0"/>
              <w:rPr>
                <w:rFonts w:cs="Arial"/>
                <w:bCs/>
                <w:sz w:val="22"/>
                <w:szCs w:val="22"/>
              </w:rPr>
            </w:pPr>
          </w:p>
          <w:p w14:paraId="3ACAC602" w14:textId="77777777" w:rsidR="00936637" w:rsidRPr="00997B81" w:rsidRDefault="00936637" w:rsidP="00DA2F46">
            <w:pPr>
              <w:suppressAutoHyphens w:val="0"/>
              <w:rPr>
                <w:rFonts w:cs="Arial"/>
                <w:b/>
                <w:bCs/>
                <w:sz w:val="22"/>
                <w:szCs w:val="22"/>
              </w:rPr>
            </w:pPr>
            <w:r w:rsidRPr="00997B81">
              <w:rPr>
                <w:rFonts w:cs="Arial"/>
                <w:b/>
                <w:bCs/>
                <w:sz w:val="22"/>
                <w:szCs w:val="22"/>
              </w:rPr>
              <w:t>3.2 Service description/pathway</w:t>
            </w:r>
          </w:p>
          <w:p w14:paraId="101B09A1" w14:textId="77777777" w:rsidR="00936637" w:rsidRPr="00997B81" w:rsidRDefault="00936637" w:rsidP="00DA2F46">
            <w:pPr>
              <w:suppressAutoHyphens w:val="0"/>
              <w:rPr>
                <w:rFonts w:cs="Arial"/>
                <w:bCs/>
                <w:sz w:val="22"/>
                <w:szCs w:val="22"/>
              </w:rPr>
            </w:pPr>
          </w:p>
          <w:p w14:paraId="784D233A" w14:textId="77777777" w:rsidR="00936637" w:rsidRPr="00997B81" w:rsidRDefault="00936637" w:rsidP="00DA2F46">
            <w:pPr>
              <w:pStyle w:val="Pa3"/>
              <w:spacing w:after="100"/>
              <w:jc w:val="both"/>
              <w:rPr>
                <w:rFonts w:ascii="Arial" w:hAnsi="Arial" w:cs="Arial"/>
                <w:color w:val="000000"/>
                <w:sz w:val="22"/>
                <w:szCs w:val="22"/>
              </w:rPr>
            </w:pPr>
            <w:r w:rsidRPr="00997B81">
              <w:rPr>
                <w:rFonts w:ascii="Arial" w:hAnsi="Arial" w:cs="Arial"/>
                <w:color w:val="000000"/>
                <w:sz w:val="22"/>
                <w:szCs w:val="22"/>
              </w:rPr>
              <w:t>Supervision of consumption by an appropriate professional provides the best guarantee that a medicine is being taken as prescribed. Following the introduction of supervised consumption in England and Scotland, methadone-related deaths reduced fourfold (Strang et al 2010).</w:t>
            </w:r>
          </w:p>
          <w:p w14:paraId="424D5BAF" w14:textId="77777777" w:rsidR="00936637" w:rsidRPr="00997B81" w:rsidRDefault="00936637" w:rsidP="00DA2F46">
            <w:pPr>
              <w:overflowPunct w:val="0"/>
              <w:rPr>
                <w:rFonts w:cs="Arial"/>
                <w:sz w:val="22"/>
                <w:szCs w:val="22"/>
              </w:rPr>
            </w:pPr>
          </w:p>
          <w:p w14:paraId="2CC32CE8" w14:textId="77777777" w:rsidR="00936637" w:rsidRPr="00997B81" w:rsidRDefault="00936637" w:rsidP="00DA2F46">
            <w:pPr>
              <w:overflowPunct w:val="0"/>
              <w:rPr>
                <w:rFonts w:cs="Arial"/>
                <w:sz w:val="22"/>
                <w:szCs w:val="22"/>
              </w:rPr>
            </w:pPr>
            <w:r w:rsidRPr="00997B81">
              <w:rPr>
                <w:rFonts w:cs="Arial"/>
                <w:sz w:val="22"/>
                <w:szCs w:val="22"/>
              </w:rPr>
              <w:lastRenderedPageBreak/>
              <w:t>NICE guidance identifies supervised consumption as a recommended option for maintenance therapy in the management of opioid dependence.</w:t>
            </w:r>
          </w:p>
          <w:p w14:paraId="569E7C13" w14:textId="77777777" w:rsidR="00936637" w:rsidRPr="00997B81" w:rsidRDefault="00936637" w:rsidP="00DA2F46">
            <w:pPr>
              <w:overflowPunct w:val="0"/>
              <w:rPr>
                <w:rFonts w:cs="Arial"/>
                <w:sz w:val="22"/>
                <w:szCs w:val="22"/>
              </w:rPr>
            </w:pPr>
          </w:p>
          <w:p w14:paraId="190ABCCC" w14:textId="77777777" w:rsidR="00936637" w:rsidRPr="00997B81" w:rsidRDefault="00936637" w:rsidP="00DA2F46">
            <w:pPr>
              <w:overflowPunct w:val="0"/>
              <w:rPr>
                <w:rFonts w:cs="Arial"/>
                <w:sz w:val="22"/>
                <w:szCs w:val="22"/>
              </w:rPr>
            </w:pPr>
            <w:r w:rsidRPr="00997B81">
              <w:rPr>
                <w:rFonts w:cs="Arial"/>
                <w:sz w:val="22"/>
                <w:szCs w:val="22"/>
              </w:rPr>
              <w:t>For this to be successful within a community pharmacy setting Methadone and Buprenorphine should be administered daily, under supervision, for at least the first 3 months. Supervision should be relaxed only when the Service User’s compliance is assured. Both drugs should be given as part of a programme of supportive care.</w:t>
            </w:r>
          </w:p>
          <w:p w14:paraId="4BF9940F" w14:textId="77777777" w:rsidR="00936637" w:rsidRPr="00997B81" w:rsidRDefault="00936637" w:rsidP="00DA2F46">
            <w:pPr>
              <w:overflowPunct w:val="0"/>
              <w:rPr>
                <w:rFonts w:cs="Arial"/>
                <w:sz w:val="22"/>
                <w:szCs w:val="22"/>
              </w:rPr>
            </w:pPr>
          </w:p>
          <w:p w14:paraId="40B1D4E6" w14:textId="77777777" w:rsidR="00936637" w:rsidRPr="00997B81" w:rsidRDefault="00936637" w:rsidP="00DA2F46">
            <w:pPr>
              <w:overflowPunct w:val="0"/>
              <w:rPr>
                <w:rFonts w:cs="Arial"/>
                <w:sz w:val="22"/>
                <w:szCs w:val="22"/>
              </w:rPr>
            </w:pPr>
            <w:r w:rsidRPr="00997B81">
              <w:rPr>
                <w:rFonts w:cs="Arial"/>
                <w:sz w:val="22"/>
                <w:szCs w:val="22"/>
              </w:rPr>
              <w:t xml:space="preserve">UK Drug Misuse and Dependence Clinical Guidance and NICE guidance relating to the supervised consumption of drugs can be found below: </w:t>
            </w:r>
          </w:p>
          <w:p w14:paraId="0141400B" w14:textId="77777777" w:rsidR="00936637" w:rsidRPr="00997B81" w:rsidRDefault="00936637" w:rsidP="00DA2F46">
            <w:pPr>
              <w:overflowPunct w:val="0"/>
              <w:rPr>
                <w:rFonts w:cs="Arial"/>
                <w:sz w:val="22"/>
                <w:szCs w:val="22"/>
              </w:rPr>
            </w:pPr>
          </w:p>
          <w:p w14:paraId="3F429A39" w14:textId="77777777" w:rsidR="00936637" w:rsidRPr="00997B81" w:rsidRDefault="00936637" w:rsidP="00DA2F46">
            <w:pPr>
              <w:overflowPunct w:val="0"/>
              <w:rPr>
                <w:rStyle w:val="Hyperlink"/>
                <w:rFonts w:cs="Arial"/>
                <w:sz w:val="22"/>
                <w:szCs w:val="22"/>
              </w:rPr>
            </w:pPr>
            <w:hyperlink r:id="rId6" w:history="1">
              <w:r w:rsidRPr="00997B81">
                <w:rPr>
                  <w:rStyle w:val="Hyperlink"/>
                  <w:rFonts w:cs="Arial"/>
                  <w:sz w:val="22"/>
                  <w:szCs w:val="22"/>
                </w:rPr>
                <w:t>https://www.nice.org.uk/guidance/ta114/chapter/1-guidance</w:t>
              </w:r>
            </w:hyperlink>
          </w:p>
          <w:p w14:paraId="79234755" w14:textId="77777777" w:rsidR="00936637" w:rsidRPr="00997B81" w:rsidRDefault="00936637" w:rsidP="00DA2F46">
            <w:pPr>
              <w:overflowPunct w:val="0"/>
              <w:rPr>
                <w:rStyle w:val="Hyperlink"/>
                <w:rFonts w:cs="Arial"/>
                <w:sz w:val="22"/>
                <w:szCs w:val="22"/>
              </w:rPr>
            </w:pPr>
          </w:p>
          <w:p w14:paraId="5974903F" w14:textId="77777777" w:rsidR="00936637" w:rsidRPr="00997B81" w:rsidRDefault="00936637" w:rsidP="00DA2F46">
            <w:pPr>
              <w:overflowPunct w:val="0"/>
              <w:rPr>
                <w:rFonts w:cs="Arial"/>
                <w:sz w:val="22"/>
                <w:szCs w:val="22"/>
              </w:rPr>
            </w:pPr>
            <w:hyperlink r:id="rId7" w:history="1">
              <w:r w:rsidRPr="00997B81">
                <w:rPr>
                  <w:rStyle w:val="Hyperlink"/>
                  <w:rFonts w:cs="Arial"/>
                  <w:sz w:val="22"/>
                  <w:szCs w:val="22"/>
                </w:rPr>
                <w:t>https://assets.publishing.service.gov.uk/government/uploads/system/uploads/attachment_data/file/673978/clinical_guidelines_2017.pdf</w:t>
              </w:r>
            </w:hyperlink>
            <w:r w:rsidRPr="00997B81">
              <w:rPr>
                <w:rFonts w:cs="Arial"/>
                <w:sz w:val="22"/>
                <w:szCs w:val="22"/>
              </w:rPr>
              <w:t xml:space="preserve"> </w:t>
            </w:r>
          </w:p>
          <w:p w14:paraId="67CEB134" w14:textId="77777777" w:rsidR="00936637" w:rsidRPr="00997B81" w:rsidRDefault="00936637" w:rsidP="00DA2F46">
            <w:pPr>
              <w:suppressAutoHyphens w:val="0"/>
              <w:rPr>
                <w:rFonts w:cs="Arial"/>
                <w:b/>
                <w:bCs/>
                <w:sz w:val="22"/>
                <w:szCs w:val="22"/>
              </w:rPr>
            </w:pPr>
          </w:p>
          <w:p w14:paraId="7F70FC71" w14:textId="77777777" w:rsidR="00936637" w:rsidRPr="00997B81" w:rsidRDefault="00936637" w:rsidP="00DA2F46">
            <w:pPr>
              <w:suppressAutoHyphens w:val="0"/>
              <w:rPr>
                <w:rFonts w:cs="Arial"/>
                <w:b/>
                <w:bCs/>
                <w:sz w:val="22"/>
                <w:szCs w:val="22"/>
              </w:rPr>
            </w:pPr>
          </w:p>
          <w:p w14:paraId="2C91721D" w14:textId="77777777" w:rsidR="00936637" w:rsidRPr="00997B81" w:rsidRDefault="00936637" w:rsidP="00DA2F46">
            <w:pPr>
              <w:suppressAutoHyphens w:val="0"/>
              <w:rPr>
                <w:rFonts w:cs="Arial"/>
                <w:b/>
                <w:bCs/>
                <w:sz w:val="22"/>
                <w:szCs w:val="22"/>
              </w:rPr>
            </w:pPr>
            <w:r w:rsidRPr="00997B81">
              <w:rPr>
                <w:rFonts w:cs="Arial"/>
                <w:b/>
                <w:bCs/>
                <w:sz w:val="22"/>
                <w:szCs w:val="22"/>
              </w:rPr>
              <w:t>3.2.1 Service description</w:t>
            </w:r>
          </w:p>
          <w:p w14:paraId="62D38E23" w14:textId="77777777" w:rsidR="00936637" w:rsidRPr="00997B81" w:rsidRDefault="00936637" w:rsidP="00DA2F46">
            <w:pPr>
              <w:suppressAutoHyphens w:val="0"/>
              <w:rPr>
                <w:rFonts w:cs="Arial"/>
                <w:bCs/>
                <w:sz w:val="22"/>
                <w:szCs w:val="22"/>
              </w:rPr>
            </w:pPr>
          </w:p>
          <w:p w14:paraId="6900B91E" w14:textId="77777777" w:rsidR="00936637" w:rsidRPr="00997B81" w:rsidRDefault="00936637" w:rsidP="00DA2F46">
            <w:pPr>
              <w:suppressAutoHyphens w:val="0"/>
              <w:rPr>
                <w:rFonts w:cs="Arial"/>
                <w:bCs/>
                <w:sz w:val="22"/>
                <w:szCs w:val="22"/>
              </w:rPr>
            </w:pPr>
            <w:r w:rsidRPr="00997B81">
              <w:rPr>
                <w:rFonts w:cs="Arial"/>
                <w:bCs/>
                <w:sz w:val="22"/>
                <w:szCs w:val="22"/>
              </w:rPr>
              <w:t>The service will require the Provider to supervise the consumption of prescribed medicines at the point of dispensing in the pharmacy, ensuring that the dose has been administered to the Service User.</w:t>
            </w:r>
          </w:p>
          <w:p w14:paraId="5BCA9D05" w14:textId="77777777" w:rsidR="00936637" w:rsidRPr="00997B81" w:rsidRDefault="00936637" w:rsidP="00DA2F46">
            <w:pPr>
              <w:suppressAutoHyphens w:val="0"/>
              <w:rPr>
                <w:rFonts w:cs="Arial"/>
                <w:bCs/>
                <w:sz w:val="22"/>
                <w:szCs w:val="22"/>
              </w:rPr>
            </w:pPr>
          </w:p>
          <w:p w14:paraId="06F6C2F4" w14:textId="77777777" w:rsidR="00936637" w:rsidRPr="00997B81" w:rsidRDefault="00936637" w:rsidP="00DA2F46">
            <w:pPr>
              <w:suppressAutoHyphens w:val="0"/>
              <w:rPr>
                <w:rFonts w:cs="Arial"/>
                <w:bCs/>
                <w:sz w:val="22"/>
                <w:szCs w:val="22"/>
              </w:rPr>
            </w:pPr>
            <w:r w:rsidRPr="00997B81">
              <w:rPr>
                <w:rFonts w:cs="Arial"/>
                <w:bCs/>
                <w:sz w:val="22"/>
                <w:szCs w:val="22"/>
              </w:rPr>
              <w:t>The Provider will provide support and advice to the Service User, including referral to primary care or specialist centres where appropriate.</w:t>
            </w:r>
          </w:p>
          <w:p w14:paraId="43A1C0F7" w14:textId="77777777" w:rsidR="00936637" w:rsidRPr="00997B81" w:rsidRDefault="00936637" w:rsidP="00DA2F46">
            <w:pPr>
              <w:suppressAutoHyphens w:val="0"/>
              <w:rPr>
                <w:rFonts w:cs="Arial"/>
                <w:bCs/>
                <w:sz w:val="22"/>
                <w:szCs w:val="22"/>
              </w:rPr>
            </w:pPr>
          </w:p>
          <w:p w14:paraId="2F7491A8" w14:textId="77777777" w:rsidR="00936637" w:rsidRPr="00997B81" w:rsidRDefault="00936637" w:rsidP="00DA2F46">
            <w:pPr>
              <w:suppressAutoHyphens w:val="0"/>
              <w:rPr>
                <w:rFonts w:cs="Arial"/>
                <w:bCs/>
                <w:sz w:val="22"/>
                <w:szCs w:val="22"/>
              </w:rPr>
            </w:pPr>
            <w:r w:rsidRPr="00997B81">
              <w:rPr>
                <w:rFonts w:cs="Arial"/>
                <w:bCs/>
                <w:sz w:val="22"/>
                <w:szCs w:val="22"/>
              </w:rPr>
              <w:t xml:space="preserve">This service is concerned with the consumption of methadone, buprenorphine and </w:t>
            </w:r>
            <w:proofErr w:type="spellStart"/>
            <w:r w:rsidRPr="00997B81">
              <w:rPr>
                <w:rFonts w:cs="Arial"/>
                <w:bCs/>
                <w:sz w:val="22"/>
                <w:szCs w:val="22"/>
              </w:rPr>
              <w:t>espranor</w:t>
            </w:r>
            <w:proofErr w:type="spellEnd"/>
            <w:r w:rsidRPr="00997B81">
              <w:rPr>
                <w:rFonts w:cs="Arial"/>
                <w:bCs/>
                <w:sz w:val="22"/>
                <w:szCs w:val="22"/>
              </w:rPr>
              <w:t>, as well as other medicines used for the management of opiate dependence.</w:t>
            </w:r>
          </w:p>
          <w:p w14:paraId="2604B047" w14:textId="77777777" w:rsidR="00936637" w:rsidRPr="00997B81" w:rsidRDefault="00936637" w:rsidP="00DA2F46">
            <w:pPr>
              <w:suppressAutoHyphens w:val="0"/>
              <w:rPr>
                <w:rFonts w:cs="Arial"/>
                <w:bCs/>
                <w:sz w:val="22"/>
                <w:szCs w:val="22"/>
              </w:rPr>
            </w:pPr>
          </w:p>
          <w:p w14:paraId="1CEB49E5" w14:textId="77777777" w:rsidR="00936637" w:rsidRPr="00997B81" w:rsidRDefault="00936637" w:rsidP="00DA2F46">
            <w:pPr>
              <w:suppressAutoHyphens w:val="0"/>
              <w:rPr>
                <w:rFonts w:cs="Arial"/>
                <w:sz w:val="22"/>
                <w:szCs w:val="22"/>
              </w:rPr>
            </w:pPr>
            <w:r w:rsidRPr="00997B81">
              <w:rPr>
                <w:rFonts w:cs="Arial"/>
                <w:sz w:val="22"/>
                <w:szCs w:val="22"/>
              </w:rPr>
              <w:t>The Pharmacy will:</w:t>
            </w:r>
          </w:p>
          <w:p w14:paraId="097E8F37" w14:textId="77777777" w:rsidR="00936637" w:rsidRPr="00997B81" w:rsidRDefault="00936637" w:rsidP="00DA2F46">
            <w:pPr>
              <w:suppressAutoHyphens w:val="0"/>
              <w:rPr>
                <w:rFonts w:cs="Arial"/>
                <w:sz w:val="22"/>
                <w:szCs w:val="22"/>
              </w:rPr>
            </w:pPr>
          </w:p>
          <w:p w14:paraId="5748ED39" w14:textId="77777777" w:rsidR="00936637" w:rsidRPr="00997B81" w:rsidRDefault="00936637" w:rsidP="00936637">
            <w:pPr>
              <w:pStyle w:val="ListParagraph"/>
              <w:numPr>
                <w:ilvl w:val="0"/>
                <w:numId w:val="4"/>
              </w:numPr>
              <w:suppressAutoHyphens w:val="0"/>
              <w:rPr>
                <w:rFonts w:cs="Arial"/>
                <w:sz w:val="22"/>
                <w:szCs w:val="22"/>
              </w:rPr>
            </w:pPr>
            <w:r w:rsidRPr="00997B81">
              <w:rPr>
                <w:rFonts w:cs="Arial"/>
                <w:sz w:val="22"/>
                <w:szCs w:val="22"/>
              </w:rPr>
              <w:t xml:space="preserve">Maintain an accurate register of customers engaged in the service; </w:t>
            </w:r>
          </w:p>
          <w:p w14:paraId="23C17F0C" w14:textId="77777777" w:rsidR="00936637" w:rsidRPr="00997B81" w:rsidRDefault="00936637" w:rsidP="00936637">
            <w:pPr>
              <w:pStyle w:val="ListParagraph"/>
              <w:numPr>
                <w:ilvl w:val="0"/>
                <w:numId w:val="4"/>
              </w:numPr>
              <w:suppressAutoHyphens w:val="0"/>
              <w:rPr>
                <w:rFonts w:cs="Arial"/>
                <w:sz w:val="22"/>
                <w:szCs w:val="22"/>
              </w:rPr>
            </w:pPr>
            <w:r w:rsidRPr="00997B81">
              <w:rPr>
                <w:rFonts w:cs="Arial"/>
                <w:sz w:val="22"/>
                <w:szCs w:val="22"/>
              </w:rPr>
              <w:t xml:space="preserve">Operate an accessible service on a drop-in basis to meet local need; </w:t>
            </w:r>
          </w:p>
          <w:p w14:paraId="5133B2F2" w14:textId="77777777" w:rsidR="00936637" w:rsidRPr="00997B81" w:rsidRDefault="00936637" w:rsidP="00936637">
            <w:pPr>
              <w:pStyle w:val="ListParagraph"/>
              <w:numPr>
                <w:ilvl w:val="0"/>
                <w:numId w:val="4"/>
              </w:numPr>
              <w:suppressAutoHyphens w:val="0"/>
              <w:rPr>
                <w:rFonts w:cs="Arial"/>
                <w:sz w:val="22"/>
                <w:szCs w:val="22"/>
              </w:rPr>
            </w:pPr>
            <w:r w:rsidRPr="00997B81">
              <w:rPr>
                <w:rFonts w:cs="Arial"/>
                <w:sz w:val="22"/>
                <w:szCs w:val="22"/>
              </w:rPr>
              <w:t xml:space="preserve">Facilitate a quiet, discreet and confidential area where consumption of opiates substitute medications can take place; </w:t>
            </w:r>
          </w:p>
          <w:p w14:paraId="4764C19C" w14:textId="77777777" w:rsidR="00936637" w:rsidRPr="00997B81" w:rsidRDefault="00936637" w:rsidP="00936637">
            <w:pPr>
              <w:pStyle w:val="ListParagraph"/>
              <w:numPr>
                <w:ilvl w:val="0"/>
                <w:numId w:val="4"/>
              </w:numPr>
              <w:suppressAutoHyphens w:val="0"/>
              <w:rPr>
                <w:rFonts w:cs="Arial"/>
                <w:sz w:val="22"/>
                <w:szCs w:val="22"/>
              </w:rPr>
            </w:pPr>
            <w:r w:rsidRPr="00997B81">
              <w:rPr>
                <w:rFonts w:cs="Arial"/>
                <w:sz w:val="22"/>
                <w:szCs w:val="22"/>
              </w:rPr>
              <w:t>Dispense and supervise consumption of the opiate substitute medications when prescribed by a drug and alcohol integrated service that is commissioned by Knowsley Metropolitan Borough Council Public Health.</w:t>
            </w:r>
          </w:p>
          <w:p w14:paraId="7F645363" w14:textId="77777777" w:rsidR="00936637" w:rsidRPr="00997B81" w:rsidRDefault="00936637" w:rsidP="00936637">
            <w:pPr>
              <w:pStyle w:val="ListParagraph"/>
              <w:numPr>
                <w:ilvl w:val="0"/>
                <w:numId w:val="4"/>
              </w:numPr>
              <w:suppressAutoHyphens w:val="0"/>
              <w:rPr>
                <w:rFonts w:cs="Arial"/>
                <w:sz w:val="22"/>
                <w:szCs w:val="22"/>
              </w:rPr>
            </w:pPr>
            <w:r w:rsidRPr="00997B81">
              <w:rPr>
                <w:rFonts w:cs="Arial"/>
                <w:sz w:val="22"/>
                <w:szCs w:val="22"/>
              </w:rPr>
              <w:t xml:space="preserve">Assess and record clients’ personal and supervision details in line with the </w:t>
            </w:r>
            <w:proofErr w:type="spellStart"/>
            <w:r w:rsidRPr="00997B81">
              <w:rPr>
                <w:rFonts w:cs="Arial"/>
                <w:sz w:val="22"/>
                <w:szCs w:val="22"/>
              </w:rPr>
              <w:t>Pharmoutcomes</w:t>
            </w:r>
            <w:proofErr w:type="spellEnd"/>
            <w:r w:rsidRPr="00997B81">
              <w:rPr>
                <w:rFonts w:cs="Arial"/>
                <w:sz w:val="22"/>
                <w:szCs w:val="22"/>
              </w:rPr>
              <w:t xml:space="preserve"> supervised consumption templates</w:t>
            </w:r>
            <w:r>
              <w:rPr>
                <w:rFonts w:cs="Arial"/>
                <w:sz w:val="22"/>
                <w:szCs w:val="22"/>
              </w:rPr>
              <w:t>.</w:t>
            </w:r>
          </w:p>
          <w:p w14:paraId="46DFF560" w14:textId="77777777" w:rsidR="00936637" w:rsidRPr="00997B81" w:rsidRDefault="00936637" w:rsidP="00936637">
            <w:pPr>
              <w:pStyle w:val="ListParagraph"/>
              <w:numPr>
                <w:ilvl w:val="0"/>
                <w:numId w:val="4"/>
              </w:numPr>
              <w:suppressAutoHyphens w:val="0"/>
              <w:rPr>
                <w:rFonts w:cs="Arial"/>
                <w:sz w:val="22"/>
                <w:szCs w:val="22"/>
              </w:rPr>
            </w:pPr>
            <w:r w:rsidRPr="00997B81">
              <w:rPr>
                <w:rFonts w:cs="Arial"/>
                <w:sz w:val="22"/>
                <w:szCs w:val="22"/>
              </w:rPr>
              <w:t>Provide brief harm reduction advice during every supervision. Advice will be relevant to the customer’s needs and may include overdose prevention advice</w:t>
            </w:r>
            <w:r>
              <w:rPr>
                <w:rFonts w:cs="Arial"/>
                <w:sz w:val="22"/>
                <w:szCs w:val="22"/>
              </w:rPr>
              <w:t>.</w:t>
            </w:r>
          </w:p>
          <w:p w14:paraId="18D539D2" w14:textId="77777777" w:rsidR="00936637" w:rsidRPr="00997B81" w:rsidRDefault="00936637" w:rsidP="00936637">
            <w:pPr>
              <w:pStyle w:val="ListParagraph"/>
              <w:numPr>
                <w:ilvl w:val="0"/>
                <w:numId w:val="4"/>
              </w:numPr>
              <w:suppressAutoHyphens w:val="0"/>
              <w:rPr>
                <w:rFonts w:eastAsia="Symbol" w:cs="Arial"/>
                <w:sz w:val="22"/>
                <w:szCs w:val="22"/>
              </w:rPr>
            </w:pPr>
            <w:r w:rsidRPr="00997B81">
              <w:rPr>
                <w:rFonts w:cs="Arial"/>
                <w:sz w:val="22"/>
                <w:szCs w:val="22"/>
              </w:rPr>
              <w:t>Ensure primary healthcare needs of customers are identified and addressed, making direct referrals to specialist services</w:t>
            </w:r>
            <w:r>
              <w:rPr>
                <w:rFonts w:cs="Arial"/>
                <w:sz w:val="22"/>
                <w:szCs w:val="22"/>
              </w:rPr>
              <w:t>.</w:t>
            </w:r>
          </w:p>
          <w:p w14:paraId="4717EDE1" w14:textId="77777777" w:rsidR="00936637" w:rsidRPr="00997B81" w:rsidRDefault="00936637" w:rsidP="00936637">
            <w:pPr>
              <w:pStyle w:val="ListParagraph"/>
              <w:numPr>
                <w:ilvl w:val="0"/>
                <w:numId w:val="4"/>
              </w:numPr>
              <w:suppressAutoHyphens w:val="0"/>
              <w:rPr>
                <w:rFonts w:cs="Arial"/>
                <w:sz w:val="22"/>
                <w:szCs w:val="22"/>
              </w:rPr>
            </w:pPr>
            <w:r w:rsidRPr="00997B81">
              <w:rPr>
                <w:rFonts w:cs="Arial"/>
                <w:sz w:val="22"/>
                <w:szCs w:val="22"/>
              </w:rPr>
              <w:t>Ensure customers’ needs for other public health services delivered by the Pharmacy are identified and addressed</w:t>
            </w:r>
            <w:r>
              <w:rPr>
                <w:rFonts w:cs="Arial"/>
                <w:sz w:val="22"/>
                <w:szCs w:val="22"/>
              </w:rPr>
              <w:t>.</w:t>
            </w:r>
          </w:p>
          <w:p w14:paraId="7C0D9A3D" w14:textId="77777777" w:rsidR="00936637" w:rsidRPr="00997B81" w:rsidRDefault="00936637" w:rsidP="00936637">
            <w:pPr>
              <w:pStyle w:val="ListParagraph"/>
              <w:numPr>
                <w:ilvl w:val="0"/>
                <w:numId w:val="4"/>
              </w:numPr>
              <w:suppressAutoHyphens w:val="0"/>
              <w:rPr>
                <w:rFonts w:cs="Arial"/>
                <w:sz w:val="22"/>
                <w:szCs w:val="22"/>
              </w:rPr>
            </w:pPr>
            <w:r w:rsidRPr="00997B81">
              <w:rPr>
                <w:rFonts w:cs="Arial"/>
                <w:sz w:val="22"/>
                <w:szCs w:val="22"/>
              </w:rPr>
              <w:t>The Pharmacist will report potential intoxication; missed doses; recommended need for re-titration etc.</w:t>
            </w:r>
          </w:p>
          <w:p w14:paraId="30E31DA2" w14:textId="77777777" w:rsidR="00936637" w:rsidRPr="00997B81" w:rsidRDefault="00936637" w:rsidP="00DA2F46">
            <w:pPr>
              <w:suppressAutoHyphens w:val="0"/>
              <w:rPr>
                <w:rFonts w:cs="Arial"/>
                <w:sz w:val="22"/>
                <w:szCs w:val="22"/>
              </w:rPr>
            </w:pPr>
          </w:p>
          <w:p w14:paraId="13F492EA" w14:textId="77777777" w:rsidR="00936637" w:rsidRPr="00997B81" w:rsidRDefault="00936637" w:rsidP="00DA2F46">
            <w:pPr>
              <w:suppressAutoHyphens w:val="0"/>
              <w:rPr>
                <w:rFonts w:cs="Arial"/>
                <w:bCs/>
                <w:sz w:val="22"/>
                <w:szCs w:val="22"/>
              </w:rPr>
            </w:pPr>
          </w:p>
          <w:p w14:paraId="28B4E44A" w14:textId="77777777" w:rsidR="00936637" w:rsidRPr="00997B81" w:rsidRDefault="00936637" w:rsidP="00DA2F46">
            <w:pPr>
              <w:suppressAutoHyphens w:val="0"/>
              <w:rPr>
                <w:rFonts w:cs="Arial"/>
                <w:b/>
                <w:bCs/>
                <w:sz w:val="22"/>
                <w:szCs w:val="22"/>
              </w:rPr>
            </w:pPr>
            <w:r w:rsidRPr="00997B81">
              <w:rPr>
                <w:rFonts w:cs="Arial"/>
                <w:b/>
                <w:bCs/>
                <w:sz w:val="22"/>
                <w:szCs w:val="22"/>
              </w:rPr>
              <w:t>3.2.2 Pathway</w:t>
            </w:r>
          </w:p>
          <w:p w14:paraId="3EA6B716" w14:textId="77777777" w:rsidR="00936637" w:rsidRPr="00997B81" w:rsidRDefault="00936637" w:rsidP="00DA2F46">
            <w:pPr>
              <w:suppressAutoHyphens w:val="0"/>
              <w:rPr>
                <w:rFonts w:cs="Arial"/>
                <w:bCs/>
                <w:sz w:val="22"/>
                <w:szCs w:val="22"/>
              </w:rPr>
            </w:pPr>
          </w:p>
          <w:p w14:paraId="1CCA966B" w14:textId="77777777" w:rsidR="00936637" w:rsidRPr="00997B81" w:rsidRDefault="00936637" w:rsidP="00DA2F46">
            <w:pPr>
              <w:suppressAutoHyphens w:val="0"/>
              <w:rPr>
                <w:rFonts w:cs="Arial"/>
                <w:bCs/>
                <w:sz w:val="22"/>
                <w:szCs w:val="22"/>
              </w:rPr>
            </w:pPr>
            <w:r w:rsidRPr="00997B81">
              <w:rPr>
                <w:rFonts w:cs="Arial"/>
                <w:sz w:val="22"/>
                <w:szCs w:val="22"/>
              </w:rPr>
              <w:t>Each Service User will be allocated to a participating Provider by the Authority’s community drugs/alcohol service. It is expected that Service Users will use only the allocated Provider except in exceptional circumstances.</w:t>
            </w:r>
          </w:p>
          <w:p w14:paraId="22F94F07" w14:textId="77777777" w:rsidR="00936637" w:rsidRPr="00997B81" w:rsidRDefault="00936637" w:rsidP="00DA2F46">
            <w:pPr>
              <w:suppressAutoHyphens w:val="0"/>
              <w:rPr>
                <w:rFonts w:cs="Arial"/>
                <w:bCs/>
                <w:sz w:val="22"/>
                <w:szCs w:val="22"/>
              </w:rPr>
            </w:pPr>
          </w:p>
          <w:p w14:paraId="5159964F" w14:textId="77777777" w:rsidR="00936637" w:rsidRPr="00997B81" w:rsidRDefault="00936637" w:rsidP="00DA2F46">
            <w:pPr>
              <w:rPr>
                <w:rFonts w:cs="Arial"/>
                <w:sz w:val="22"/>
                <w:szCs w:val="22"/>
              </w:rPr>
            </w:pPr>
            <w:r w:rsidRPr="00997B81">
              <w:rPr>
                <w:rFonts w:cs="Arial"/>
                <w:sz w:val="22"/>
                <w:szCs w:val="22"/>
              </w:rPr>
              <w:t>All new Service Users newly titrated to an opiate substitute will be initially placed on daily supervised consumption. This will be reviewed in co-production with the community drug service’s medical officer and the Service User.</w:t>
            </w:r>
          </w:p>
          <w:p w14:paraId="74E83B93" w14:textId="77777777" w:rsidR="00936637" w:rsidRPr="00997B81" w:rsidRDefault="00936637" w:rsidP="00DA2F46">
            <w:pPr>
              <w:rPr>
                <w:rFonts w:cs="Arial"/>
                <w:sz w:val="22"/>
                <w:szCs w:val="22"/>
              </w:rPr>
            </w:pPr>
          </w:p>
          <w:p w14:paraId="0C425F4E" w14:textId="77777777" w:rsidR="00936637" w:rsidRPr="00997B81" w:rsidRDefault="00936637" w:rsidP="00DA2F46">
            <w:pPr>
              <w:rPr>
                <w:rFonts w:cs="Arial"/>
                <w:sz w:val="22"/>
                <w:szCs w:val="22"/>
              </w:rPr>
            </w:pPr>
            <w:r w:rsidRPr="00997B81">
              <w:rPr>
                <w:rFonts w:cs="Arial"/>
                <w:sz w:val="22"/>
                <w:szCs w:val="22"/>
              </w:rPr>
              <w:t xml:space="preserve">The Provider will present the medicine in a suitable </w:t>
            </w:r>
            <w:r w:rsidRPr="00997B81">
              <w:rPr>
                <w:rFonts w:cs="Arial"/>
                <w:b/>
                <w:i/>
                <w:sz w:val="22"/>
                <w:szCs w:val="22"/>
              </w:rPr>
              <w:t>labelled receptacle</w:t>
            </w:r>
            <w:r w:rsidRPr="00997B81">
              <w:rPr>
                <w:rFonts w:cs="Arial"/>
                <w:b/>
                <w:sz w:val="22"/>
                <w:szCs w:val="22"/>
              </w:rPr>
              <w:t xml:space="preserve"> </w:t>
            </w:r>
            <w:r w:rsidRPr="00997B81">
              <w:rPr>
                <w:rFonts w:cs="Arial"/>
                <w:sz w:val="22"/>
                <w:szCs w:val="22"/>
              </w:rPr>
              <w:t>and will provide the Service User with water to facilitate and/or reduce the risk of doses being held in the mouth.</w:t>
            </w:r>
          </w:p>
          <w:p w14:paraId="694EF233" w14:textId="77777777" w:rsidR="00936637" w:rsidRPr="00997B81" w:rsidRDefault="00936637" w:rsidP="00DA2F46">
            <w:pPr>
              <w:rPr>
                <w:rFonts w:cs="Arial"/>
                <w:sz w:val="22"/>
                <w:szCs w:val="22"/>
              </w:rPr>
            </w:pPr>
          </w:p>
          <w:p w14:paraId="14AE7794" w14:textId="77777777" w:rsidR="00936637" w:rsidRPr="00997B81" w:rsidRDefault="00936637" w:rsidP="00DA2F46">
            <w:pPr>
              <w:rPr>
                <w:rFonts w:cs="Arial"/>
                <w:b/>
                <w:sz w:val="22"/>
                <w:szCs w:val="22"/>
              </w:rPr>
            </w:pPr>
            <w:r w:rsidRPr="00997B81">
              <w:rPr>
                <w:rFonts w:cs="Arial"/>
                <w:b/>
                <w:sz w:val="22"/>
                <w:szCs w:val="22"/>
              </w:rPr>
              <w:t>3.2.2.1 Missed Prescription Collection</w:t>
            </w:r>
          </w:p>
          <w:p w14:paraId="042E3592" w14:textId="77777777" w:rsidR="00936637" w:rsidRPr="00997B81" w:rsidRDefault="00936637" w:rsidP="00DA2F46">
            <w:pPr>
              <w:rPr>
                <w:rFonts w:cs="Arial"/>
                <w:sz w:val="22"/>
                <w:szCs w:val="22"/>
              </w:rPr>
            </w:pPr>
          </w:p>
          <w:p w14:paraId="7BC9DC7B" w14:textId="77777777" w:rsidR="00936637" w:rsidRPr="00997B81" w:rsidRDefault="00936637" w:rsidP="00DA2F46">
            <w:pPr>
              <w:rPr>
                <w:rFonts w:cs="Arial"/>
                <w:sz w:val="22"/>
                <w:szCs w:val="22"/>
              </w:rPr>
            </w:pPr>
            <w:r w:rsidRPr="00997B81">
              <w:rPr>
                <w:rFonts w:cs="Arial"/>
                <w:sz w:val="22"/>
                <w:szCs w:val="22"/>
              </w:rPr>
              <w:t>When a Service User misses a ‘pickup’ or misses several ‘pickups’ in a short period this can be an early warning sign that the Service User may be having difficulties, may be using illicit drugs or may have relapsed. Therefore, the Provider will inform the Authority’s community drugs/alcohol service whenever a Service User has missed two or three ‘</w:t>
            </w:r>
            <w:proofErr w:type="gramStart"/>
            <w:r w:rsidRPr="00997B81">
              <w:rPr>
                <w:rFonts w:cs="Arial"/>
                <w:sz w:val="22"/>
                <w:szCs w:val="22"/>
              </w:rPr>
              <w:t>pickups’</w:t>
            </w:r>
            <w:proofErr w:type="gramEnd"/>
            <w:r w:rsidRPr="00997B81">
              <w:rPr>
                <w:rFonts w:cs="Arial"/>
                <w:sz w:val="22"/>
                <w:szCs w:val="22"/>
              </w:rPr>
              <w:t>.</w:t>
            </w:r>
          </w:p>
          <w:p w14:paraId="0A1C4E9A" w14:textId="77777777" w:rsidR="00936637" w:rsidRPr="00997B81" w:rsidRDefault="00936637" w:rsidP="00DA2F46">
            <w:pPr>
              <w:rPr>
                <w:rFonts w:cs="Arial"/>
                <w:sz w:val="22"/>
                <w:szCs w:val="22"/>
              </w:rPr>
            </w:pPr>
          </w:p>
          <w:p w14:paraId="7B001D6B" w14:textId="77777777" w:rsidR="00936637" w:rsidRPr="00997B81" w:rsidRDefault="00936637" w:rsidP="00DA2F46">
            <w:pPr>
              <w:rPr>
                <w:rFonts w:cs="Arial"/>
                <w:sz w:val="22"/>
                <w:szCs w:val="22"/>
              </w:rPr>
            </w:pPr>
            <w:r w:rsidRPr="00997B81">
              <w:rPr>
                <w:rFonts w:cs="Arial"/>
                <w:sz w:val="22"/>
                <w:szCs w:val="22"/>
              </w:rPr>
              <w:t xml:space="preserve">If a Service User misses three or more ‘pickups’ on consecutive days or misses a Friday collection for example which includes Friday, Saturday and Sunday doses, </w:t>
            </w:r>
            <w:r w:rsidRPr="00997B81">
              <w:rPr>
                <w:rFonts w:cs="Arial"/>
                <w:b/>
                <w:sz w:val="22"/>
                <w:szCs w:val="22"/>
              </w:rPr>
              <w:t xml:space="preserve">the prescription </w:t>
            </w:r>
            <w:r w:rsidRPr="00997B81">
              <w:rPr>
                <w:rFonts w:cs="Arial"/>
                <w:b/>
                <w:i/>
                <w:sz w:val="22"/>
                <w:szCs w:val="22"/>
              </w:rPr>
              <w:t xml:space="preserve">should not </w:t>
            </w:r>
            <w:r w:rsidRPr="00997B81">
              <w:rPr>
                <w:rFonts w:cs="Arial"/>
                <w:b/>
                <w:sz w:val="22"/>
                <w:szCs w:val="22"/>
              </w:rPr>
              <w:t>be dispensed</w:t>
            </w:r>
            <w:r w:rsidRPr="00997B81">
              <w:rPr>
                <w:rFonts w:cs="Arial"/>
                <w:sz w:val="22"/>
                <w:szCs w:val="22"/>
              </w:rPr>
              <w:t>, as there is a risk of overdose due to a reduction in tolerance levels and the Provider must notify the Authority’s community drugs/alcohol service, so the treatment programme can be restarted.</w:t>
            </w:r>
          </w:p>
          <w:p w14:paraId="4E7589E8" w14:textId="77777777" w:rsidR="00936637" w:rsidRPr="00997B81" w:rsidRDefault="00936637" w:rsidP="00DA2F46">
            <w:pPr>
              <w:rPr>
                <w:rFonts w:cs="Arial"/>
                <w:sz w:val="22"/>
                <w:szCs w:val="22"/>
              </w:rPr>
            </w:pPr>
          </w:p>
          <w:p w14:paraId="0E3862D3" w14:textId="77777777" w:rsidR="00936637" w:rsidRPr="00997B81" w:rsidRDefault="00936637" w:rsidP="00DA2F46">
            <w:pPr>
              <w:rPr>
                <w:rFonts w:cs="Arial"/>
                <w:b/>
                <w:i/>
                <w:sz w:val="22"/>
                <w:szCs w:val="22"/>
              </w:rPr>
            </w:pPr>
          </w:p>
          <w:p w14:paraId="2433EE74" w14:textId="77777777" w:rsidR="00936637" w:rsidRPr="00997B81" w:rsidRDefault="00936637" w:rsidP="00DA2F46">
            <w:pPr>
              <w:rPr>
                <w:rFonts w:cs="Arial"/>
                <w:b/>
                <w:sz w:val="22"/>
                <w:szCs w:val="22"/>
              </w:rPr>
            </w:pPr>
            <w:r w:rsidRPr="00997B81">
              <w:rPr>
                <w:rFonts w:cs="Arial"/>
                <w:b/>
                <w:sz w:val="22"/>
                <w:szCs w:val="22"/>
              </w:rPr>
              <w:t>3.2.2.2 Receipt of prescriptions</w:t>
            </w:r>
          </w:p>
          <w:p w14:paraId="774F9BA6" w14:textId="77777777" w:rsidR="00936637" w:rsidRPr="00997B81" w:rsidRDefault="00936637" w:rsidP="00DA2F46">
            <w:pPr>
              <w:rPr>
                <w:rFonts w:cs="Arial"/>
                <w:sz w:val="22"/>
                <w:szCs w:val="22"/>
              </w:rPr>
            </w:pPr>
          </w:p>
          <w:p w14:paraId="44132265" w14:textId="77777777" w:rsidR="00936637" w:rsidRPr="00997B81" w:rsidRDefault="00936637" w:rsidP="00DA2F46">
            <w:pPr>
              <w:rPr>
                <w:rFonts w:cs="Arial"/>
                <w:sz w:val="22"/>
                <w:szCs w:val="22"/>
              </w:rPr>
            </w:pPr>
            <w:r w:rsidRPr="00997B81">
              <w:rPr>
                <w:rFonts w:cs="Arial"/>
                <w:sz w:val="22"/>
                <w:szCs w:val="22"/>
              </w:rPr>
              <w:t>Every time a prescription is posted it is accompanied by a prescription confirmation letter that is sent to the Provider. This is to be signed and faxed, emailed via a secure NHS mail back to the Authority’s community drugs/alcohol service by the Provider to confirm that the envelope has been received.</w:t>
            </w:r>
          </w:p>
          <w:p w14:paraId="2D1B5688" w14:textId="77777777" w:rsidR="00936637" w:rsidRPr="00997B81" w:rsidRDefault="00936637" w:rsidP="00DA2F46">
            <w:pPr>
              <w:rPr>
                <w:rFonts w:cs="Arial"/>
                <w:sz w:val="22"/>
                <w:szCs w:val="22"/>
              </w:rPr>
            </w:pPr>
          </w:p>
          <w:p w14:paraId="0CD37115" w14:textId="77777777" w:rsidR="00936637" w:rsidRPr="00997B81" w:rsidRDefault="00936637" w:rsidP="00DA2F46">
            <w:pPr>
              <w:suppressAutoHyphens w:val="0"/>
              <w:rPr>
                <w:rFonts w:cs="Arial"/>
                <w:b/>
                <w:bCs/>
                <w:sz w:val="22"/>
                <w:szCs w:val="22"/>
              </w:rPr>
            </w:pPr>
            <w:r w:rsidRPr="00997B81">
              <w:rPr>
                <w:rFonts w:cs="Arial"/>
                <w:b/>
                <w:bCs/>
                <w:sz w:val="22"/>
                <w:szCs w:val="22"/>
              </w:rPr>
              <w:t>3.3 Population covered</w:t>
            </w:r>
          </w:p>
          <w:p w14:paraId="26A5E5A8" w14:textId="77777777" w:rsidR="00936637" w:rsidRPr="00997B81" w:rsidRDefault="00936637" w:rsidP="00DA2F46">
            <w:pPr>
              <w:suppressAutoHyphens w:val="0"/>
              <w:rPr>
                <w:rFonts w:cs="Arial"/>
                <w:bCs/>
                <w:sz w:val="22"/>
                <w:szCs w:val="22"/>
              </w:rPr>
            </w:pPr>
          </w:p>
          <w:p w14:paraId="45682C42" w14:textId="77777777" w:rsidR="00936637" w:rsidRPr="00997B81" w:rsidRDefault="00936637" w:rsidP="00DA2F46">
            <w:pPr>
              <w:suppressAutoHyphens w:val="0"/>
              <w:rPr>
                <w:rFonts w:cs="Arial"/>
                <w:bCs/>
                <w:sz w:val="22"/>
                <w:szCs w:val="22"/>
              </w:rPr>
            </w:pPr>
            <w:r w:rsidRPr="00997B81">
              <w:rPr>
                <w:rFonts w:cs="Arial"/>
                <w:bCs/>
                <w:sz w:val="22"/>
                <w:szCs w:val="22"/>
              </w:rPr>
              <w:t>Service users in treatment with Knowsley Integrated Recovery Service.</w:t>
            </w:r>
          </w:p>
          <w:p w14:paraId="4876ABBB" w14:textId="77777777" w:rsidR="00936637" w:rsidRPr="00997B81" w:rsidRDefault="00936637" w:rsidP="00DA2F46">
            <w:pPr>
              <w:suppressAutoHyphens w:val="0"/>
              <w:rPr>
                <w:rFonts w:cs="Arial"/>
                <w:bCs/>
                <w:sz w:val="22"/>
                <w:szCs w:val="22"/>
              </w:rPr>
            </w:pPr>
          </w:p>
          <w:p w14:paraId="0BA6F0EA" w14:textId="77777777" w:rsidR="00936637" w:rsidRPr="00997B81" w:rsidRDefault="00936637" w:rsidP="00DA2F46">
            <w:pPr>
              <w:suppressAutoHyphens w:val="0"/>
              <w:rPr>
                <w:rFonts w:cs="Arial"/>
                <w:b/>
                <w:bCs/>
                <w:sz w:val="22"/>
                <w:szCs w:val="22"/>
              </w:rPr>
            </w:pPr>
            <w:r w:rsidRPr="00997B81">
              <w:rPr>
                <w:rFonts w:cs="Arial"/>
                <w:b/>
                <w:bCs/>
                <w:sz w:val="22"/>
                <w:szCs w:val="22"/>
              </w:rPr>
              <w:t>3.4 Any acceptance and exclusion criteria and thresholds</w:t>
            </w:r>
          </w:p>
          <w:p w14:paraId="1E74FB87" w14:textId="77777777" w:rsidR="00936637" w:rsidRPr="00997B81" w:rsidRDefault="00936637" w:rsidP="00DA2F46">
            <w:pPr>
              <w:suppressAutoHyphens w:val="0"/>
              <w:rPr>
                <w:rFonts w:cs="Arial"/>
                <w:bCs/>
                <w:sz w:val="22"/>
                <w:szCs w:val="22"/>
              </w:rPr>
            </w:pPr>
          </w:p>
          <w:p w14:paraId="08E23E91" w14:textId="77777777" w:rsidR="00936637" w:rsidRPr="00997B81" w:rsidRDefault="00936637" w:rsidP="00DA2F46">
            <w:pPr>
              <w:suppressAutoHyphens w:val="0"/>
              <w:rPr>
                <w:rFonts w:cs="Arial"/>
                <w:bCs/>
                <w:sz w:val="22"/>
                <w:szCs w:val="22"/>
              </w:rPr>
            </w:pPr>
            <w:r w:rsidRPr="00997B81">
              <w:rPr>
                <w:rFonts w:cs="Arial"/>
                <w:bCs/>
                <w:sz w:val="22"/>
                <w:szCs w:val="22"/>
              </w:rPr>
              <w:t>None.</w:t>
            </w:r>
          </w:p>
          <w:p w14:paraId="6A86EFF4" w14:textId="77777777" w:rsidR="00936637" w:rsidRPr="00997B81" w:rsidRDefault="00936637" w:rsidP="00DA2F46">
            <w:pPr>
              <w:suppressAutoHyphens w:val="0"/>
              <w:rPr>
                <w:rFonts w:cs="Arial"/>
                <w:bCs/>
                <w:sz w:val="22"/>
                <w:szCs w:val="22"/>
              </w:rPr>
            </w:pPr>
          </w:p>
          <w:p w14:paraId="55B05515" w14:textId="77777777" w:rsidR="00936637" w:rsidRPr="00997B81" w:rsidRDefault="00936637" w:rsidP="00DA2F46">
            <w:pPr>
              <w:suppressAutoHyphens w:val="0"/>
              <w:rPr>
                <w:rFonts w:cs="Arial"/>
                <w:b/>
                <w:bCs/>
                <w:sz w:val="22"/>
                <w:szCs w:val="22"/>
              </w:rPr>
            </w:pPr>
            <w:r w:rsidRPr="00997B81">
              <w:rPr>
                <w:rFonts w:cs="Arial"/>
                <w:b/>
                <w:bCs/>
                <w:sz w:val="22"/>
                <w:szCs w:val="22"/>
              </w:rPr>
              <w:t>3.5 Interdependencies with other services</w:t>
            </w:r>
          </w:p>
          <w:p w14:paraId="68BCE09E" w14:textId="77777777" w:rsidR="00936637" w:rsidRPr="00997B81" w:rsidRDefault="00936637" w:rsidP="00DA2F46">
            <w:pPr>
              <w:suppressAutoHyphens w:val="0"/>
              <w:rPr>
                <w:rFonts w:cs="Arial"/>
                <w:bCs/>
                <w:sz w:val="22"/>
                <w:szCs w:val="22"/>
              </w:rPr>
            </w:pPr>
          </w:p>
          <w:p w14:paraId="3101ED02" w14:textId="77777777" w:rsidR="00936637" w:rsidRPr="00997B81" w:rsidRDefault="00936637" w:rsidP="00DA2F46">
            <w:pPr>
              <w:rPr>
                <w:rFonts w:cs="Arial"/>
                <w:sz w:val="22"/>
                <w:szCs w:val="22"/>
              </w:rPr>
            </w:pPr>
            <w:r w:rsidRPr="00997B81">
              <w:rPr>
                <w:rFonts w:cs="Arial"/>
                <w:sz w:val="22"/>
                <w:szCs w:val="22"/>
              </w:rPr>
              <w:t>The Provider will share relevant information with other substance misuse professional and agencies, in line with locally determined confidentiality arrangements.</w:t>
            </w:r>
          </w:p>
          <w:p w14:paraId="31EE36E0" w14:textId="77777777" w:rsidR="00936637" w:rsidRPr="00997B81" w:rsidRDefault="00936637" w:rsidP="00DA2F46">
            <w:pPr>
              <w:suppressAutoHyphens w:val="0"/>
              <w:rPr>
                <w:rFonts w:cs="Arial"/>
                <w:bCs/>
                <w:sz w:val="22"/>
                <w:szCs w:val="22"/>
              </w:rPr>
            </w:pPr>
          </w:p>
          <w:p w14:paraId="1ABBFE5A" w14:textId="77777777" w:rsidR="00936637" w:rsidRPr="00997B81" w:rsidRDefault="00936637" w:rsidP="00DA2F46">
            <w:pPr>
              <w:suppressAutoHyphens w:val="0"/>
              <w:rPr>
                <w:rFonts w:eastAsia="MS ??" w:cs="Arial"/>
                <w:bCs/>
                <w:sz w:val="22"/>
                <w:szCs w:val="22"/>
              </w:rPr>
            </w:pPr>
            <w:r w:rsidRPr="00997B81">
              <w:rPr>
                <w:rFonts w:cs="Arial"/>
                <w:b/>
                <w:bCs/>
                <w:sz w:val="22"/>
                <w:szCs w:val="22"/>
              </w:rPr>
              <w:t>3.6 Any activity planning assumptions</w:t>
            </w:r>
          </w:p>
          <w:p w14:paraId="39198768" w14:textId="77777777" w:rsidR="00936637" w:rsidRPr="00997B81" w:rsidRDefault="00936637" w:rsidP="00DA2F46">
            <w:pPr>
              <w:suppressAutoHyphens w:val="0"/>
              <w:rPr>
                <w:rFonts w:eastAsia="MS ??" w:cs="Arial"/>
                <w:bCs/>
                <w:sz w:val="22"/>
                <w:szCs w:val="22"/>
              </w:rPr>
            </w:pPr>
          </w:p>
          <w:p w14:paraId="236C69EA" w14:textId="77777777" w:rsidR="00936637" w:rsidRPr="00997B81" w:rsidRDefault="00936637" w:rsidP="00DA2F46">
            <w:pPr>
              <w:suppressAutoHyphens w:val="0"/>
              <w:rPr>
                <w:rFonts w:eastAsia="MS ??" w:cs="Arial"/>
                <w:bCs/>
                <w:sz w:val="22"/>
                <w:szCs w:val="22"/>
              </w:rPr>
            </w:pPr>
            <w:r w:rsidRPr="00997B81">
              <w:rPr>
                <w:rFonts w:eastAsia="MS ??" w:cs="Arial"/>
                <w:bCs/>
                <w:sz w:val="22"/>
                <w:szCs w:val="22"/>
              </w:rPr>
              <w:t>None.</w:t>
            </w:r>
          </w:p>
          <w:p w14:paraId="1127F447" w14:textId="77777777" w:rsidR="00936637" w:rsidRPr="00997B81" w:rsidRDefault="00936637" w:rsidP="00DA2F46">
            <w:pPr>
              <w:pStyle w:val="BodyText"/>
              <w:jc w:val="both"/>
              <w:rPr>
                <w:rFonts w:cs="Arial"/>
                <w:bCs/>
                <w:szCs w:val="22"/>
              </w:rPr>
            </w:pPr>
          </w:p>
        </w:tc>
      </w:tr>
      <w:tr w:rsidR="00936637" w:rsidRPr="00997B81" w14:paraId="7693CF67" w14:textId="77777777" w:rsidTr="00DA2F46">
        <w:tc>
          <w:tcPr>
            <w:tcW w:w="9990" w:type="dxa"/>
            <w:tcBorders>
              <w:top w:val="single" w:sz="4" w:space="0" w:color="999999"/>
              <w:left w:val="single" w:sz="4" w:space="0" w:color="999999"/>
              <w:bottom w:val="single" w:sz="4" w:space="0" w:color="999999"/>
              <w:right w:val="single" w:sz="4" w:space="0" w:color="999999"/>
            </w:tcBorders>
            <w:shd w:val="clear" w:color="auto" w:fill="666666"/>
          </w:tcPr>
          <w:p w14:paraId="6CAAFB7C" w14:textId="77777777" w:rsidR="00936637" w:rsidRPr="00997B81" w:rsidRDefault="00936637" w:rsidP="00DA2F46">
            <w:pPr>
              <w:pStyle w:val="BodyText"/>
              <w:jc w:val="both"/>
              <w:rPr>
                <w:rFonts w:cs="Arial"/>
                <w:b/>
                <w:color w:val="FFFFFF"/>
                <w:szCs w:val="22"/>
              </w:rPr>
            </w:pPr>
          </w:p>
          <w:p w14:paraId="767EC838" w14:textId="77777777" w:rsidR="00936637" w:rsidRPr="00997B81" w:rsidRDefault="00936637" w:rsidP="00DA2F46">
            <w:pPr>
              <w:pStyle w:val="BodyText"/>
              <w:jc w:val="both"/>
              <w:rPr>
                <w:rFonts w:cs="Arial"/>
                <w:b/>
                <w:color w:val="FFFFFF"/>
                <w:szCs w:val="22"/>
              </w:rPr>
            </w:pPr>
            <w:r w:rsidRPr="00997B81">
              <w:rPr>
                <w:rFonts w:cs="Arial"/>
                <w:b/>
                <w:color w:val="FFFFFF"/>
                <w:szCs w:val="22"/>
              </w:rPr>
              <w:t>4. Applicable Service Standards</w:t>
            </w:r>
          </w:p>
          <w:p w14:paraId="78D3F610" w14:textId="77777777" w:rsidR="00936637" w:rsidRPr="00997B81" w:rsidRDefault="00936637" w:rsidP="00DA2F46">
            <w:pPr>
              <w:pStyle w:val="BodyText"/>
              <w:jc w:val="both"/>
              <w:rPr>
                <w:rFonts w:cs="Arial"/>
                <w:b/>
                <w:color w:val="FFFFFF"/>
                <w:szCs w:val="22"/>
              </w:rPr>
            </w:pPr>
          </w:p>
        </w:tc>
      </w:tr>
      <w:tr w:rsidR="00936637" w:rsidRPr="00997B81" w14:paraId="449B7250" w14:textId="77777777" w:rsidTr="00DA2F46">
        <w:trPr>
          <w:trHeight w:val="1904"/>
        </w:trPr>
        <w:tc>
          <w:tcPr>
            <w:tcW w:w="9990" w:type="dxa"/>
            <w:tcBorders>
              <w:top w:val="single" w:sz="4" w:space="0" w:color="999999"/>
              <w:left w:val="single" w:sz="4" w:space="0" w:color="999999"/>
              <w:bottom w:val="single" w:sz="4" w:space="0" w:color="999999"/>
              <w:right w:val="single" w:sz="4" w:space="0" w:color="999999"/>
            </w:tcBorders>
          </w:tcPr>
          <w:p w14:paraId="1F888B8B" w14:textId="77777777" w:rsidR="00936637" w:rsidRPr="00997B81" w:rsidRDefault="00936637" w:rsidP="00DA2F46">
            <w:pPr>
              <w:pStyle w:val="BodyText"/>
              <w:jc w:val="both"/>
              <w:rPr>
                <w:rFonts w:cs="Arial"/>
                <w:szCs w:val="22"/>
              </w:rPr>
            </w:pPr>
          </w:p>
          <w:p w14:paraId="545E2757" w14:textId="77777777" w:rsidR="00936637" w:rsidRPr="00B83CCA" w:rsidRDefault="00936637" w:rsidP="00DA2F46">
            <w:pPr>
              <w:suppressAutoHyphens w:val="0"/>
              <w:rPr>
                <w:rFonts w:cs="Arial"/>
                <w:b/>
                <w:sz w:val="22"/>
                <w:szCs w:val="22"/>
              </w:rPr>
            </w:pPr>
            <w:r w:rsidRPr="00B83CCA">
              <w:rPr>
                <w:rFonts w:cs="Arial"/>
                <w:b/>
                <w:sz w:val="22"/>
                <w:szCs w:val="22"/>
              </w:rPr>
              <w:t>4.1 Applicable national standards e.g., NICE</w:t>
            </w:r>
          </w:p>
          <w:p w14:paraId="3B181843" w14:textId="77777777" w:rsidR="00936637" w:rsidRPr="00997B81" w:rsidRDefault="00936637" w:rsidP="00DA2F46">
            <w:pPr>
              <w:suppressAutoHyphens w:val="0"/>
              <w:rPr>
                <w:rFonts w:cs="Arial"/>
                <w:bCs/>
                <w:sz w:val="22"/>
                <w:szCs w:val="22"/>
              </w:rPr>
            </w:pPr>
          </w:p>
          <w:p w14:paraId="26678C25" w14:textId="77777777" w:rsidR="00936637" w:rsidRPr="00997B81" w:rsidRDefault="00936637" w:rsidP="00DA2F46">
            <w:pPr>
              <w:overflowPunct w:val="0"/>
              <w:rPr>
                <w:rFonts w:cs="Arial"/>
                <w:sz w:val="22"/>
                <w:szCs w:val="22"/>
              </w:rPr>
            </w:pPr>
            <w:r w:rsidRPr="00997B81">
              <w:rPr>
                <w:rFonts w:cs="Arial"/>
                <w:sz w:val="22"/>
                <w:szCs w:val="22"/>
              </w:rPr>
              <w:t>NICE guidance identifies supervised consumption as a recommended option for maintenance therapy in the management of opioid dependence.</w:t>
            </w:r>
          </w:p>
          <w:p w14:paraId="6D783E0E" w14:textId="77777777" w:rsidR="00936637" w:rsidRPr="00997B81" w:rsidRDefault="00936637" w:rsidP="00DA2F46">
            <w:pPr>
              <w:overflowPunct w:val="0"/>
              <w:rPr>
                <w:rFonts w:cs="Arial"/>
                <w:sz w:val="22"/>
                <w:szCs w:val="22"/>
              </w:rPr>
            </w:pPr>
          </w:p>
          <w:p w14:paraId="38F19E64" w14:textId="77777777" w:rsidR="00936637" w:rsidRPr="00997B81" w:rsidRDefault="00936637" w:rsidP="00DA2F46">
            <w:pPr>
              <w:overflowPunct w:val="0"/>
              <w:rPr>
                <w:rFonts w:cs="Arial"/>
                <w:sz w:val="22"/>
                <w:szCs w:val="22"/>
              </w:rPr>
            </w:pPr>
            <w:r w:rsidRPr="00997B81">
              <w:rPr>
                <w:rFonts w:cs="Arial"/>
                <w:sz w:val="22"/>
                <w:szCs w:val="22"/>
              </w:rPr>
              <w:t xml:space="preserve">For this to be successful within a community pharmacy setting Methadone and Buprenorphine should be administered daily, under supervision, for at least the first 3 months. Supervision should be relaxed </w:t>
            </w:r>
            <w:r w:rsidRPr="00997B81">
              <w:rPr>
                <w:rFonts w:cs="Arial"/>
                <w:sz w:val="22"/>
                <w:szCs w:val="22"/>
              </w:rPr>
              <w:lastRenderedPageBreak/>
              <w:t>only when the Service User’s compliance is assured. Both drugs should be given as part of a programme of supportive care.</w:t>
            </w:r>
          </w:p>
          <w:p w14:paraId="28562D2F" w14:textId="77777777" w:rsidR="00936637" w:rsidRPr="00997B81" w:rsidRDefault="00936637" w:rsidP="00DA2F46">
            <w:pPr>
              <w:overflowPunct w:val="0"/>
              <w:rPr>
                <w:rFonts w:cs="Arial"/>
                <w:sz w:val="22"/>
                <w:szCs w:val="22"/>
              </w:rPr>
            </w:pPr>
          </w:p>
          <w:p w14:paraId="0D102929" w14:textId="77777777" w:rsidR="00936637" w:rsidRPr="00997B81" w:rsidRDefault="00936637" w:rsidP="00DA2F46">
            <w:pPr>
              <w:overflowPunct w:val="0"/>
              <w:rPr>
                <w:rFonts w:cs="Arial"/>
                <w:sz w:val="22"/>
                <w:szCs w:val="22"/>
              </w:rPr>
            </w:pPr>
            <w:r w:rsidRPr="00997B81">
              <w:rPr>
                <w:rFonts w:cs="Arial"/>
                <w:sz w:val="22"/>
                <w:szCs w:val="22"/>
              </w:rPr>
              <w:t xml:space="preserve">UK Drug Misuse and Dependence Clinical Guidance and NICE guidance relating to the supervised consumption of drugs can be found below: </w:t>
            </w:r>
          </w:p>
          <w:p w14:paraId="4007CF81" w14:textId="77777777" w:rsidR="00936637" w:rsidRPr="00997B81" w:rsidRDefault="00936637" w:rsidP="00DA2F46">
            <w:pPr>
              <w:overflowPunct w:val="0"/>
              <w:rPr>
                <w:rStyle w:val="Hyperlink"/>
                <w:rFonts w:cs="Arial"/>
                <w:sz w:val="22"/>
                <w:szCs w:val="22"/>
              </w:rPr>
            </w:pPr>
          </w:p>
          <w:p w14:paraId="06B057E4" w14:textId="77777777" w:rsidR="00936637" w:rsidRPr="00997B81" w:rsidRDefault="00936637" w:rsidP="00DA2F46">
            <w:pPr>
              <w:overflowPunct w:val="0"/>
              <w:rPr>
                <w:rFonts w:cs="Arial"/>
                <w:sz w:val="22"/>
                <w:szCs w:val="22"/>
              </w:rPr>
            </w:pPr>
            <w:hyperlink r:id="rId8" w:history="1">
              <w:r w:rsidRPr="00997B81">
                <w:rPr>
                  <w:rStyle w:val="Hyperlink"/>
                  <w:rFonts w:cs="Arial"/>
                  <w:sz w:val="22"/>
                  <w:szCs w:val="22"/>
                </w:rPr>
                <w:t>https://assets.publishing.service.gov.uk/government/uploads/system/uploads/attachment_data/file/673978/clinical_guidelines_2017.pdf</w:t>
              </w:r>
            </w:hyperlink>
            <w:r w:rsidRPr="00997B81">
              <w:rPr>
                <w:rFonts w:cs="Arial"/>
                <w:sz w:val="22"/>
                <w:szCs w:val="22"/>
              </w:rPr>
              <w:t xml:space="preserve"> </w:t>
            </w:r>
          </w:p>
          <w:p w14:paraId="36287901" w14:textId="77777777" w:rsidR="00936637" w:rsidRPr="00997B81" w:rsidRDefault="00936637" w:rsidP="00DA2F46">
            <w:pPr>
              <w:overflowPunct w:val="0"/>
              <w:rPr>
                <w:rFonts w:cs="Arial"/>
                <w:sz w:val="22"/>
                <w:szCs w:val="22"/>
              </w:rPr>
            </w:pPr>
          </w:p>
          <w:p w14:paraId="49B6F786" w14:textId="77777777" w:rsidR="00936637" w:rsidRPr="00997B81" w:rsidRDefault="00936637" w:rsidP="00DA2F46">
            <w:pPr>
              <w:overflowPunct w:val="0"/>
              <w:rPr>
                <w:rFonts w:cs="Arial"/>
                <w:sz w:val="22"/>
                <w:szCs w:val="22"/>
              </w:rPr>
            </w:pPr>
            <w:hyperlink r:id="rId9" w:history="1">
              <w:r w:rsidRPr="00997B81">
                <w:rPr>
                  <w:rStyle w:val="Hyperlink"/>
                  <w:rFonts w:cs="Arial"/>
                  <w:sz w:val="22"/>
                  <w:szCs w:val="22"/>
                </w:rPr>
                <w:t>https://www.nice.org.uk/guidance/ta114/chapter/1-guidance</w:t>
              </w:r>
            </w:hyperlink>
          </w:p>
          <w:p w14:paraId="0B42B98F" w14:textId="77777777" w:rsidR="00936637" w:rsidRPr="00997B81" w:rsidRDefault="00936637" w:rsidP="00DA2F46">
            <w:pPr>
              <w:suppressAutoHyphens w:val="0"/>
              <w:rPr>
                <w:rFonts w:cs="Arial"/>
                <w:bCs/>
                <w:sz w:val="22"/>
                <w:szCs w:val="22"/>
              </w:rPr>
            </w:pPr>
          </w:p>
          <w:p w14:paraId="19D54951" w14:textId="77777777" w:rsidR="00936637" w:rsidRPr="00997B81" w:rsidRDefault="00936637" w:rsidP="00DA2F46">
            <w:pPr>
              <w:suppressAutoHyphens w:val="0"/>
              <w:rPr>
                <w:rFonts w:cs="Arial"/>
                <w:bCs/>
                <w:sz w:val="22"/>
                <w:szCs w:val="22"/>
              </w:rPr>
            </w:pPr>
          </w:p>
          <w:p w14:paraId="266A5BE7" w14:textId="77777777" w:rsidR="00936637" w:rsidRPr="00B83CCA" w:rsidRDefault="00936637" w:rsidP="00DA2F46">
            <w:pPr>
              <w:rPr>
                <w:rFonts w:cs="Arial"/>
                <w:b/>
                <w:bCs/>
                <w:sz w:val="22"/>
                <w:szCs w:val="22"/>
              </w:rPr>
            </w:pPr>
            <w:r w:rsidRPr="00B83CCA">
              <w:rPr>
                <w:rFonts w:cs="Arial"/>
                <w:b/>
                <w:bCs/>
                <w:sz w:val="22"/>
                <w:szCs w:val="22"/>
              </w:rPr>
              <w:t>4.2 Training</w:t>
            </w:r>
          </w:p>
          <w:p w14:paraId="59547E97" w14:textId="77777777" w:rsidR="00936637" w:rsidRPr="00B83CCA" w:rsidRDefault="00936637" w:rsidP="00DA2F46">
            <w:pPr>
              <w:rPr>
                <w:rFonts w:cs="Arial"/>
                <w:b/>
                <w:sz w:val="22"/>
                <w:szCs w:val="22"/>
              </w:rPr>
            </w:pPr>
          </w:p>
          <w:p w14:paraId="1989403F" w14:textId="77777777" w:rsidR="00936637" w:rsidRPr="00997B81" w:rsidRDefault="00936637" w:rsidP="00DA2F46">
            <w:pPr>
              <w:rPr>
                <w:rFonts w:cs="Arial"/>
                <w:sz w:val="22"/>
                <w:szCs w:val="22"/>
              </w:rPr>
            </w:pPr>
            <w:r w:rsidRPr="00997B81">
              <w:rPr>
                <w:rFonts w:cs="Arial"/>
                <w:sz w:val="22"/>
                <w:szCs w:val="22"/>
              </w:rPr>
              <w:t>Staff involved in the provision of the service must have undertaken relevant training in the delivery of the service.</w:t>
            </w:r>
          </w:p>
          <w:p w14:paraId="41727F1D" w14:textId="77777777" w:rsidR="00936637" w:rsidRPr="00837BB1" w:rsidRDefault="00936637" w:rsidP="00DA2F46">
            <w:pPr>
              <w:rPr>
                <w:rFonts w:cs="Arial"/>
                <w:sz w:val="22"/>
                <w:szCs w:val="22"/>
              </w:rPr>
            </w:pPr>
            <w:r w:rsidRPr="00837BB1">
              <w:rPr>
                <w:rFonts w:cs="Arial"/>
                <w:sz w:val="22"/>
                <w:szCs w:val="22"/>
              </w:rPr>
              <w:t> </w:t>
            </w:r>
          </w:p>
          <w:p w14:paraId="60834749" w14:textId="77777777" w:rsidR="00936637" w:rsidRPr="00837BB1" w:rsidRDefault="00936637" w:rsidP="00DA2F46">
            <w:pPr>
              <w:rPr>
                <w:rFonts w:cs="Arial"/>
                <w:sz w:val="22"/>
                <w:szCs w:val="22"/>
              </w:rPr>
            </w:pPr>
            <w:r w:rsidRPr="00837BB1">
              <w:rPr>
                <w:rFonts w:cs="Arial"/>
                <w:sz w:val="22"/>
                <w:szCs w:val="22"/>
                <w:lang w:eastAsia="en-GB"/>
              </w:rPr>
              <w:t>The pharmacist must satisfy the requirements of the CPPE self-declaration of competence for “supervised consumption of prescribed m</w:t>
            </w:r>
            <w:r w:rsidRPr="00837BB1">
              <w:rPr>
                <w:rFonts w:cs="Arial"/>
                <w:color w:val="000000"/>
                <w:sz w:val="22"/>
                <w:szCs w:val="22"/>
                <w:lang w:eastAsia="en-GB"/>
              </w:rPr>
              <w:t xml:space="preserve">edicines” and complete a declaration of competence which can be located </w:t>
            </w:r>
            <w:hyperlink r:id="rId10" w:history="1">
              <w:r w:rsidRPr="00837BB1">
                <w:rPr>
                  <w:rStyle w:val="Hyperlink"/>
                  <w:rFonts w:cs="Arial"/>
                  <w:sz w:val="22"/>
                  <w:szCs w:val="22"/>
                  <w:lang w:eastAsia="en-GB"/>
                </w:rPr>
                <w:t>here</w:t>
              </w:r>
            </w:hyperlink>
            <w:r w:rsidRPr="00837BB1">
              <w:rPr>
                <w:rFonts w:cs="Arial"/>
                <w:color w:val="000000"/>
                <w:sz w:val="22"/>
                <w:szCs w:val="22"/>
                <w:lang w:eastAsia="en-GB"/>
              </w:rPr>
              <w:t>:</w:t>
            </w:r>
          </w:p>
          <w:p w14:paraId="2752ADDD" w14:textId="77777777" w:rsidR="00936637" w:rsidRPr="00837BB1" w:rsidRDefault="00936637" w:rsidP="00DA2F46">
            <w:pPr>
              <w:rPr>
                <w:rFonts w:cs="Arial"/>
                <w:sz w:val="22"/>
                <w:szCs w:val="22"/>
              </w:rPr>
            </w:pPr>
            <w:r w:rsidRPr="00837BB1">
              <w:rPr>
                <w:rFonts w:cs="Arial"/>
                <w:sz w:val="22"/>
                <w:szCs w:val="22"/>
              </w:rPr>
              <w:t xml:space="preserve"> </w:t>
            </w:r>
          </w:p>
          <w:p w14:paraId="29E4B1CE" w14:textId="77777777" w:rsidR="00936637" w:rsidRPr="00837BB1" w:rsidRDefault="00936637" w:rsidP="00DA2F46">
            <w:pPr>
              <w:rPr>
                <w:rFonts w:cs="Arial"/>
                <w:sz w:val="22"/>
                <w:szCs w:val="22"/>
              </w:rPr>
            </w:pPr>
            <w:r w:rsidRPr="00837BB1">
              <w:rPr>
                <w:rFonts w:cs="Arial"/>
                <w:b/>
                <w:bCs/>
                <w:sz w:val="22"/>
                <w:szCs w:val="22"/>
              </w:rPr>
              <w:t> </w:t>
            </w:r>
          </w:p>
          <w:p w14:paraId="4586005B" w14:textId="77777777" w:rsidR="00936637" w:rsidRPr="00837BB1" w:rsidRDefault="00936637" w:rsidP="00DA2F46">
            <w:pPr>
              <w:rPr>
                <w:rFonts w:cs="Arial"/>
                <w:sz w:val="22"/>
                <w:szCs w:val="22"/>
              </w:rPr>
            </w:pPr>
            <w:r w:rsidRPr="00837BB1">
              <w:rPr>
                <w:rFonts w:cs="Arial"/>
                <w:b/>
                <w:bCs/>
                <w:sz w:val="22"/>
                <w:szCs w:val="22"/>
              </w:rPr>
              <w:t>Suggested training to deliver this service:</w:t>
            </w:r>
            <w:r w:rsidRPr="00837BB1">
              <w:rPr>
                <w:rFonts w:cs="Arial"/>
                <w:sz w:val="22"/>
                <w:szCs w:val="22"/>
              </w:rPr>
              <w:t xml:space="preserve"> </w:t>
            </w:r>
          </w:p>
          <w:p w14:paraId="40C878B4" w14:textId="77777777" w:rsidR="00936637" w:rsidRPr="00837BB1" w:rsidRDefault="00936637" w:rsidP="00DA2F46">
            <w:pPr>
              <w:rPr>
                <w:rFonts w:cs="Arial"/>
                <w:sz w:val="22"/>
                <w:szCs w:val="22"/>
              </w:rPr>
            </w:pPr>
            <w:r w:rsidRPr="00837BB1">
              <w:rPr>
                <w:rFonts w:cs="Arial"/>
                <w:sz w:val="22"/>
                <w:szCs w:val="22"/>
              </w:rPr>
              <w:t> </w:t>
            </w:r>
          </w:p>
          <w:p w14:paraId="65CB5C77" w14:textId="77777777" w:rsidR="00936637" w:rsidRPr="00997B81" w:rsidRDefault="00936637" w:rsidP="00DA2F46">
            <w:pPr>
              <w:rPr>
                <w:rFonts w:cs="Arial"/>
                <w:sz w:val="22"/>
                <w:szCs w:val="22"/>
              </w:rPr>
            </w:pPr>
            <w:hyperlink r:id="rId11" w:history="1">
              <w:r w:rsidRPr="00997B81">
                <w:rPr>
                  <w:rStyle w:val="Hyperlink"/>
                  <w:rFonts w:cs="Arial"/>
                  <w:sz w:val="22"/>
                  <w:szCs w:val="22"/>
                </w:rPr>
                <w:t>Substance use and misuse (July 2021)</w:t>
              </w:r>
            </w:hyperlink>
            <w:r w:rsidRPr="00997B81">
              <w:rPr>
                <w:rFonts w:cs="Arial"/>
                <w:sz w:val="22"/>
                <w:szCs w:val="22"/>
              </w:rPr>
              <w:t>: CPPE e-Course</w:t>
            </w:r>
          </w:p>
          <w:p w14:paraId="45A74195" w14:textId="77777777" w:rsidR="00936637" w:rsidRPr="00837BB1" w:rsidRDefault="00936637" w:rsidP="00DA2F46">
            <w:pPr>
              <w:framePr w:hSpace="180" w:wrap="around" w:vAnchor="text" w:hAnchor="margin" w:xAlign="center" w:y="95"/>
              <w:rPr>
                <w:rFonts w:cs="Arial"/>
                <w:sz w:val="22"/>
                <w:szCs w:val="22"/>
              </w:rPr>
            </w:pPr>
            <w:hyperlink r:id="rId12" w:history="1">
              <w:r w:rsidRPr="00837BB1">
                <w:rPr>
                  <w:rStyle w:val="Hyperlink"/>
                  <w:rFonts w:cs="Arial"/>
                  <w:sz w:val="22"/>
                  <w:szCs w:val="22"/>
                </w:rPr>
                <w:t>Substance use and misuse (2023): CPPE</w:t>
              </w:r>
            </w:hyperlink>
            <w:r w:rsidRPr="00837BB1">
              <w:rPr>
                <w:rFonts w:cs="Arial"/>
                <w:sz w:val="22"/>
                <w:szCs w:val="22"/>
              </w:rPr>
              <w:t xml:space="preserve">- e- Assessment </w:t>
            </w:r>
          </w:p>
          <w:p w14:paraId="3C8BD0BD" w14:textId="77777777" w:rsidR="00936637" w:rsidRPr="00837BB1" w:rsidRDefault="00936637" w:rsidP="00DA2F46">
            <w:pPr>
              <w:framePr w:hSpace="180" w:wrap="around" w:vAnchor="text" w:hAnchor="margin" w:xAlign="center" w:y="95"/>
              <w:rPr>
                <w:rFonts w:cs="Arial"/>
                <w:sz w:val="22"/>
                <w:szCs w:val="22"/>
              </w:rPr>
            </w:pPr>
            <w:hyperlink r:id="rId13" w:history="1">
              <w:r w:rsidRPr="00997B81">
                <w:rPr>
                  <w:rStyle w:val="Hyperlink"/>
                  <w:rFonts w:cs="Arial"/>
                  <w:sz w:val="22"/>
                  <w:szCs w:val="22"/>
                </w:rPr>
                <w:t>Addiction, misuse and dependency (June 2017)</w:t>
              </w:r>
            </w:hyperlink>
            <w:r w:rsidRPr="00837BB1">
              <w:rPr>
                <w:rFonts w:cs="Arial"/>
                <w:sz w:val="22"/>
                <w:szCs w:val="22"/>
              </w:rPr>
              <w:t>:</w:t>
            </w:r>
            <w:r w:rsidRPr="00837BB1">
              <w:rPr>
                <w:rFonts w:cs="Arial"/>
                <w:b/>
                <w:bCs/>
                <w:sz w:val="22"/>
                <w:szCs w:val="22"/>
              </w:rPr>
              <w:t xml:space="preserve"> </w:t>
            </w:r>
            <w:r w:rsidRPr="00837BB1">
              <w:rPr>
                <w:rFonts w:cs="Arial"/>
                <w:b/>
                <w:bCs/>
                <w:i/>
                <w:iCs/>
                <w:sz w:val="22"/>
                <w:szCs w:val="22"/>
              </w:rPr>
              <w:t xml:space="preserve">A focus on over-the counter and prescribed medicines: </w:t>
            </w:r>
            <w:r w:rsidRPr="00837BB1">
              <w:rPr>
                <w:rFonts w:cs="Arial"/>
                <w:b/>
                <w:bCs/>
                <w:sz w:val="22"/>
                <w:szCs w:val="22"/>
              </w:rPr>
              <w:t> </w:t>
            </w:r>
            <w:r w:rsidRPr="00837BB1">
              <w:rPr>
                <w:rFonts w:cs="Arial"/>
                <w:sz w:val="22"/>
                <w:szCs w:val="22"/>
              </w:rPr>
              <w:t>CPPE e-learning module</w:t>
            </w:r>
          </w:p>
          <w:p w14:paraId="5AD3B3CE" w14:textId="77777777" w:rsidR="00936637" w:rsidRPr="00837BB1" w:rsidRDefault="00936637" w:rsidP="00DA2F46">
            <w:pPr>
              <w:pStyle w:val="CommentText"/>
              <w:rPr>
                <w:rFonts w:cs="Arial"/>
                <w:sz w:val="22"/>
                <w:szCs w:val="22"/>
              </w:rPr>
            </w:pPr>
            <w:r w:rsidRPr="00B83CCA">
              <w:rPr>
                <w:rFonts w:cs="Arial"/>
                <w:sz w:val="22"/>
                <w:szCs w:val="22"/>
              </w:rPr>
              <w:t> </w:t>
            </w:r>
          </w:p>
          <w:p w14:paraId="06A5DB2D" w14:textId="77777777" w:rsidR="00936637" w:rsidRPr="00997B81" w:rsidRDefault="00936637" w:rsidP="00DA2F46">
            <w:pPr>
              <w:rPr>
                <w:rFonts w:cs="Arial"/>
                <w:bCs/>
                <w:sz w:val="22"/>
                <w:szCs w:val="22"/>
              </w:rPr>
            </w:pPr>
            <w:r w:rsidRPr="00997B81">
              <w:rPr>
                <w:rFonts w:cs="Arial"/>
                <w:b/>
                <w:sz w:val="22"/>
                <w:szCs w:val="22"/>
              </w:rPr>
              <w:t>By agreeing to provide this service, the pharmacy is providing assurance that staff are competent and a CPPE declaration of competence has been completed</w:t>
            </w:r>
            <w:r w:rsidRPr="00837BB1">
              <w:rPr>
                <w:rFonts w:cs="Arial"/>
                <w:b/>
                <w:bCs/>
                <w:sz w:val="22"/>
                <w:szCs w:val="22"/>
              </w:rPr>
              <w:t xml:space="preserve"> by the pharmacist.</w:t>
            </w:r>
          </w:p>
          <w:p w14:paraId="23D6120F" w14:textId="77777777" w:rsidR="00936637" w:rsidRPr="00B83CCA" w:rsidRDefault="00936637" w:rsidP="00DA2F46">
            <w:pPr>
              <w:rPr>
                <w:rFonts w:cs="Arial"/>
                <w:bCs/>
                <w:sz w:val="22"/>
                <w:szCs w:val="22"/>
              </w:rPr>
            </w:pPr>
          </w:p>
          <w:p w14:paraId="667F9294" w14:textId="77777777" w:rsidR="00936637" w:rsidRPr="00B83CCA" w:rsidRDefault="00936637" w:rsidP="00DA2F46">
            <w:pPr>
              <w:rPr>
                <w:rFonts w:cs="Arial"/>
                <w:bCs/>
                <w:sz w:val="22"/>
                <w:szCs w:val="22"/>
              </w:rPr>
            </w:pPr>
          </w:p>
          <w:p w14:paraId="47271C65" w14:textId="77777777" w:rsidR="00936637" w:rsidRPr="00B83CCA" w:rsidRDefault="00936637" w:rsidP="00DA2F46">
            <w:pPr>
              <w:suppressAutoHyphens w:val="0"/>
              <w:rPr>
                <w:rFonts w:cs="Arial"/>
                <w:b/>
                <w:sz w:val="22"/>
                <w:szCs w:val="22"/>
              </w:rPr>
            </w:pPr>
            <w:r w:rsidRPr="00B83CCA">
              <w:rPr>
                <w:rFonts w:cs="Arial"/>
                <w:b/>
                <w:sz w:val="22"/>
                <w:szCs w:val="22"/>
              </w:rPr>
              <w:t>4.3 Applicable local standards</w:t>
            </w:r>
          </w:p>
          <w:p w14:paraId="4279265C" w14:textId="77777777" w:rsidR="00936637" w:rsidRPr="00997B81" w:rsidRDefault="00936637" w:rsidP="00DA2F46">
            <w:pPr>
              <w:pStyle w:val="BodyText"/>
              <w:jc w:val="both"/>
              <w:rPr>
                <w:rFonts w:cs="Arial"/>
                <w:szCs w:val="22"/>
              </w:rPr>
            </w:pPr>
          </w:p>
          <w:p w14:paraId="3CC15ED4" w14:textId="77777777" w:rsidR="00936637" w:rsidRPr="00997B81" w:rsidRDefault="00936637" w:rsidP="00936637">
            <w:pPr>
              <w:pStyle w:val="ListParagraph"/>
              <w:numPr>
                <w:ilvl w:val="0"/>
                <w:numId w:val="5"/>
              </w:numPr>
              <w:suppressAutoHyphens w:val="0"/>
              <w:rPr>
                <w:rFonts w:cs="Arial"/>
                <w:bCs/>
                <w:sz w:val="22"/>
                <w:szCs w:val="22"/>
              </w:rPr>
            </w:pPr>
            <w:r w:rsidRPr="00997B81">
              <w:rPr>
                <w:rFonts w:cs="Arial"/>
                <w:bCs/>
                <w:sz w:val="22"/>
                <w:szCs w:val="22"/>
              </w:rPr>
              <w:t>The Provider will offer a user-friendly, non-judgemental, client centred and confidential service.</w:t>
            </w:r>
          </w:p>
          <w:p w14:paraId="615FC8D3" w14:textId="77777777" w:rsidR="00936637" w:rsidRPr="00997B81" w:rsidRDefault="00936637" w:rsidP="00DA2F46">
            <w:pPr>
              <w:suppressAutoHyphens w:val="0"/>
              <w:rPr>
                <w:rFonts w:cs="Arial"/>
                <w:bCs/>
                <w:sz w:val="22"/>
                <w:szCs w:val="22"/>
              </w:rPr>
            </w:pPr>
          </w:p>
          <w:p w14:paraId="32A83061" w14:textId="77777777" w:rsidR="00936637" w:rsidRPr="00997B81" w:rsidRDefault="00936637" w:rsidP="00936637">
            <w:pPr>
              <w:pStyle w:val="ListParagraph"/>
              <w:numPr>
                <w:ilvl w:val="0"/>
                <w:numId w:val="5"/>
              </w:numPr>
              <w:suppressAutoHyphens w:val="0"/>
              <w:rPr>
                <w:rFonts w:cs="Arial"/>
                <w:bCs/>
                <w:sz w:val="22"/>
                <w:szCs w:val="22"/>
              </w:rPr>
            </w:pPr>
            <w:r w:rsidRPr="00997B81">
              <w:rPr>
                <w:rFonts w:cs="Arial"/>
                <w:bCs/>
                <w:sz w:val="22"/>
                <w:szCs w:val="22"/>
              </w:rPr>
              <w:t>The Provider must provide supervised consumption on all of the days that the pharmacy is open for business.</w:t>
            </w:r>
          </w:p>
          <w:p w14:paraId="7954B806" w14:textId="77777777" w:rsidR="00936637" w:rsidRPr="00997B81" w:rsidRDefault="00936637" w:rsidP="00DA2F46">
            <w:pPr>
              <w:pStyle w:val="BodyText"/>
              <w:jc w:val="both"/>
              <w:rPr>
                <w:rFonts w:cs="Arial"/>
                <w:szCs w:val="22"/>
              </w:rPr>
            </w:pPr>
          </w:p>
          <w:p w14:paraId="4224C6A0" w14:textId="77777777" w:rsidR="00936637" w:rsidRPr="00997B81" w:rsidRDefault="00936637" w:rsidP="00936637">
            <w:pPr>
              <w:pStyle w:val="ListParagraph"/>
              <w:numPr>
                <w:ilvl w:val="0"/>
                <w:numId w:val="5"/>
              </w:numPr>
              <w:rPr>
                <w:rFonts w:cs="Arial"/>
                <w:sz w:val="22"/>
                <w:szCs w:val="22"/>
              </w:rPr>
            </w:pPr>
            <w:r w:rsidRPr="00997B81">
              <w:rPr>
                <w:rFonts w:cs="Arial"/>
                <w:sz w:val="22"/>
                <w:szCs w:val="22"/>
              </w:rPr>
              <w:t>The part of the pharmacy used for provision of the service provides a sufficient level of privacy and safety.</w:t>
            </w:r>
          </w:p>
          <w:p w14:paraId="17E4B920" w14:textId="77777777" w:rsidR="00936637" w:rsidRPr="00997B81" w:rsidRDefault="00936637" w:rsidP="00DA2F46">
            <w:pPr>
              <w:rPr>
                <w:rFonts w:cs="Arial"/>
                <w:sz w:val="22"/>
                <w:szCs w:val="22"/>
              </w:rPr>
            </w:pPr>
          </w:p>
          <w:p w14:paraId="3C9EC1AA" w14:textId="77777777" w:rsidR="00936637" w:rsidRPr="00997B81" w:rsidRDefault="00936637" w:rsidP="00936637">
            <w:pPr>
              <w:pStyle w:val="ListParagraph"/>
              <w:numPr>
                <w:ilvl w:val="0"/>
                <w:numId w:val="5"/>
              </w:numPr>
              <w:rPr>
                <w:rFonts w:cs="Arial"/>
                <w:sz w:val="22"/>
                <w:szCs w:val="22"/>
              </w:rPr>
            </w:pPr>
            <w:r w:rsidRPr="00997B81">
              <w:rPr>
                <w:rFonts w:cs="Arial"/>
                <w:sz w:val="22"/>
                <w:szCs w:val="22"/>
              </w:rPr>
              <w:t>The Provider will ensure that Staff involved in the provision of the service have relevant knowledge and are appropriately trained in the operation of the service.</w:t>
            </w:r>
          </w:p>
          <w:p w14:paraId="317863B6" w14:textId="77777777" w:rsidR="00936637" w:rsidRPr="00997B81" w:rsidRDefault="00936637" w:rsidP="00DA2F46">
            <w:pPr>
              <w:pStyle w:val="BodyText"/>
              <w:jc w:val="both"/>
              <w:rPr>
                <w:rFonts w:cs="Arial"/>
                <w:szCs w:val="22"/>
              </w:rPr>
            </w:pPr>
          </w:p>
          <w:p w14:paraId="7296057F" w14:textId="77777777" w:rsidR="00936637" w:rsidRPr="00997B81" w:rsidRDefault="00936637" w:rsidP="00936637">
            <w:pPr>
              <w:pStyle w:val="ListParagraph"/>
              <w:numPr>
                <w:ilvl w:val="0"/>
                <w:numId w:val="5"/>
              </w:numPr>
              <w:rPr>
                <w:rFonts w:cs="Arial"/>
                <w:sz w:val="22"/>
                <w:szCs w:val="22"/>
              </w:rPr>
            </w:pPr>
            <w:r w:rsidRPr="00997B81">
              <w:rPr>
                <w:rFonts w:cs="Arial"/>
                <w:sz w:val="22"/>
                <w:szCs w:val="22"/>
              </w:rPr>
              <w:t>The Provider will maintain appropriate records to ensure effective ongoing service delivery and audit.</w:t>
            </w:r>
          </w:p>
          <w:p w14:paraId="005DC4D0" w14:textId="77777777" w:rsidR="00936637" w:rsidRPr="00997B81" w:rsidRDefault="00936637" w:rsidP="00DA2F46">
            <w:pPr>
              <w:rPr>
                <w:rFonts w:cs="Arial"/>
                <w:sz w:val="22"/>
                <w:szCs w:val="22"/>
              </w:rPr>
            </w:pPr>
          </w:p>
          <w:p w14:paraId="285413CA" w14:textId="77777777" w:rsidR="00936637" w:rsidRPr="00997B81" w:rsidRDefault="00936637" w:rsidP="00936637">
            <w:pPr>
              <w:pStyle w:val="ListParagraph"/>
              <w:numPr>
                <w:ilvl w:val="0"/>
                <w:numId w:val="5"/>
              </w:numPr>
              <w:rPr>
                <w:rFonts w:cs="Arial"/>
                <w:sz w:val="22"/>
                <w:szCs w:val="22"/>
              </w:rPr>
            </w:pPr>
            <w:r w:rsidRPr="00997B81">
              <w:rPr>
                <w:rFonts w:cs="Arial"/>
                <w:sz w:val="22"/>
                <w:szCs w:val="22"/>
              </w:rPr>
              <w:t xml:space="preserve">The </w:t>
            </w:r>
            <w:r>
              <w:rPr>
                <w:rFonts w:cs="Arial"/>
                <w:sz w:val="22"/>
                <w:szCs w:val="22"/>
              </w:rPr>
              <w:t>P</w:t>
            </w:r>
            <w:r w:rsidRPr="00997B81">
              <w:rPr>
                <w:rFonts w:cs="Arial"/>
                <w:sz w:val="22"/>
                <w:szCs w:val="22"/>
              </w:rPr>
              <w:t>rovider should consider access to flu vaccination for this vulnerable cohort.</w:t>
            </w:r>
          </w:p>
          <w:p w14:paraId="3C87F703" w14:textId="77777777" w:rsidR="00936637" w:rsidRPr="00997B81" w:rsidRDefault="00936637" w:rsidP="00DA2F46">
            <w:pPr>
              <w:rPr>
                <w:rFonts w:cs="Arial"/>
                <w:sz w:val="22"/>
                <w:szCs w:val="22"/>
              </w:rPr>
            </w:pPr>
          </w:p>
          <w:p w14:paraId="471C1305" w14:textId="77777777" w:rsidR="00936637" w:rsidRPr="00997B81" w:rsidRDefault="00936637" w:rsidP="00936637">
            <w:pPr>
              <w:pStyle w:val="ListParagraph"/>
              <w:numPr>
                <w:ilvl w:val="0"/>
                <w:numId w:val="5"/>
              </w:numPr>
              <w:rPr>
                <w:rFonts w:cs="Arial"/>
                <w:sz w:val="22"/>
                <w:szCs w:val="22"/>
              </w:rPr>
            </w:pPr>
            <w:r w:rsidRPr="00997B81">
              <w:rPr>
                <w:rFonts w:cs="Arial"/>
                <w:sz w:val="22"/>
                <w:szCs w:val="22"/>
              </w:rPr>
              <w:t>The Authority will arrange at least one Provider meeting per year to promote service development and update the knowledge of Staff.</w:t>
            </w:r>
          </w:p>
          <w:p w14:paraId="1B1273FF" w14:textId="77777777" w:rsidR="00936637" w:rsidRPr="00997B81" w:rsidRDefault="00936637" w:rsidP="00DA2F46">
            <w:pPr>
              <w:rPr>
                <w:rFonts w:cs="Arial"/>
                <w:sz w:val="22"/>
                <w:szCs w:val="22"/>
              </w:rPr>
            </w:pPr>
          </w:p>
          <w:p w14:paraId="2DF8B490" w14:textId="77777777" w:rsidR="00936637" w:rsidRPr="00997B81" w:rsidRDefault="00936637" w:rsidP="00936637">
            <w:pPr>
              <w:pStyle w:val="ListParagraph"/>
              <w:numPr>
                <w:ilvl w:val="0"/>
                <w:numId w:val="5"/>
              </w:numPr>
              <w:rPr>
                <w:rFonts w:cs="Arial"/>
                <w:sz w:val="22"/>
                <w:szCs w:val="22"/>
              </w:rPr>
            </w:pPr>
            <w:r w:rsidRPr="00997B81">
              <w:rPr>
                <w:rFonts w:cs="Arial"/>
                <w:sz w:val="22"/>
                <w:szCs w:val="22"/>
              </w:rPr>
              <w:lastRenderedPageBreak/>
              <w:t>The Authority will provide details of relevant referral points, which Staff can use to signpost Service Users who require assistance.</w:t>
            </w:r>
          </w:p>
          <w:p w14:paraId="3933B142" w14:textId="77777777" w:rsidR="00936637" w:rsidRPr="00997B81" w:rsidRDefault="00936637" w:rsidP="00DA2F46">
            <w:pPr>
              <w:rPr>
                <w:rFonts w:cs="Arial"/>
                <w:sz w:val="22"/>
                <w:szCs w:val="22"/>
              </w:rPr>
            </w:pPr>
          </w:p>
          <w:p w14:paraId="0F240C9E" w14:textId="77777777" w:rsidR="00936637" w:rsidRPr="00997B81" w:rsidRDefault="00936637" w:rsidP="00936637">
            <w:pPr>
              <w:pStyle w:val="ListParagraph"/>
              <w:numPr>
                <w:ilvl w:val="0"/>
                <w:numId w:val="5"/>
              </w:numPr>
              <w:rPr>
                <w:rFonts w:cs="Arial"/>
                <w:sz w:val="22"/>
                <w:szCs w:val="22"/>
              </w:rPr>
            </w:pPr>
            <w:r w:rsidRPr="00997B81">
              <w:rPr>
                <w:rFonts w:cs="Arial"/>
                <w:sz w:val="22"/>
                <w:szCs w:val="22"/>
              </w:rPr>
              <w:t>The Provider will undertake relevant risk assessment and take appropriate action to reduce cross contamination.</w:t>
            </w:r>
          </w:p>
          <w:p w14:paraId="7504C27E" w14:textId="77777777" w:rsidR="00936637" w:rsidRPr="00997B81" w:rsidRDefault="00936637" w:rsidP="00DA2F46">
            <w:pPr>
              <w:pStyle w:val="BodyText"/>
              <w:jc w:val="both"/>
              <w:rPr>
                <w:rFonts w:cs="Arial"/>
                <w:szCs w:val="22"/>
              </w:rPr>
            </w:pPr>
          </w:p>
          <w:p w14:paraId="52A64559" w14:textId="77777777" w:rsidR="00936637" w:rsidRPr="00997B81" w:rsidRDefault="00936637" w:rsidP="00936637">
            <w:pPr>
              <w:pStyle w:val="ListParagraph"/>
              <w:numPr>
                <w:ilvl w:val="0"/>
                <w:numId w:val="5"/>
              </w:numPr>
              <w:rPr>
                <w:rFonts w:cs="Arial"/>
                <w:sz w:val="22"/>
                <w:szCs w:val="22"/>
              </w:rPr>
            </w:pPr>
            <w:r w:rsidRPr="00997B81">
              <w:rPr>
                <w:rFonts w:cs="Arial"/>
                <w:sz w:val="22"/>
                <w:szCs w:val="22"/>
              </w:rPr>
              <w:t>The Provider must review its standard operating procedures and the referral pathways for the service every two year.</w:t>
            </w:r>
          </w:p>
          <w:p w14:paraId="4FBF3E9F" w14:textId="77777777" w:rsidR="00936637" w:rsidRPr="00997B81" w:rsidRDefault="00936637" w:rsidP="00DA2F46">
            <w:pPr>
              <w:rPr>
                <w:rFonts w:cs="Arial"/>
                <w:sz w:val="22"/>
                <w:szCs w:val="22"/>
              </w:rPr>
            </w:pPr>
          </w:p>
          <w:p w14:paraId="76D24B0D" w14:textId="77777777" w:rsidR="00936637" w:rsidRPr="00997B81" w:rsidRDefault="00936637" w:rsidP="00DA2F46">
            <w:pPr>
              <w:rPr>
                <w:rFonts w:cs="Arial"/>
                <w:b/>
                <w:sz w:val="22"/>
                <w:szCs w:val="22"/>
              </w:rPr>
            </w:pPr>
            <w:r w:rsidRPr="00997B81">
              <w:rPr>
                <w:rFonts w:cs="Arial"/>
                <w:sz w:val="22"/>
                <w:szCs w:val="22"/>
              </w:rPr>
              <w:t xml:space="preserve">The Provider must demonstrate that Pharmacists have undertaken training and signed a declaration of competence relevant to this service e.g., </w:t>
            </w:r>
            <w:r w:rsidRPr="00997B81">
              <w:rPr>
                <w:rFonts w:cs="Arial"/>
                <w:b/>
                <w:sz w:val="22"/>
                <w:szCs w:val="22"/>
              </w:rPr>
              <w:t>CPPE substance use and misuse distance learning programme.</w:t>
            </w:r>
          </w:p>
          <w:p w14:paraId="7C962423" w14:textId="77777777" w:rsidR="00936637" w:rsidRPr="00997B81" w:rsidRDefault="00936637" w:rsidP="00DA2F46">
            <w:pPr>
              <w:rPr>
                <w:rFonts w:cs="Arial"/>
                <w:sz w:val="22"/>
                <w:szCs w:val="22"/>
              </w:rPr>
            </w:pPr>
          </w:p>
          <w:p w14:paraId="26F53AA4" w14:textId="77777777" w:rsidR="00936637" w:rsidRPr="00997B81" w:rsidRDefault="00936637" w:rsidP="00DA2F46">
            <w:pPr>
              <w:rPr>
                <w:rFonts w:cs="Arial"/>
                <w:sz w:val="22"/>
                <w:szCs w:val="22"/>
              </w:rPr>
            </w:pPr>
            <w:r w:rsidRPr="00997B81">
              <w:rPr>
                <w:rFonts w:cs="Arial"/>
                <w:sz w:val="22"/>
                <w:szCs w:val="22"/>
              </w:rPr>
              <w:t>The Provider will participate in any audit of service provision.</w:t>
            </w:r>
          </w:p>
          <w:p w14:paraId="28D77D05" w14:textId="77777777" w:rsidR="00936637" w:rsidRPr="00997B81" w:rsidRDefault="00936637" w:rsidP="00DA2F46">
            <w:pPr>
              <w:rPr>
                <w:rFonts w:cs="Arial"/>
                <w:sz w:val="22"/>
                <w:szCs w:val="22"/>
              </w:rPr>
            </w:pPr>
          </w:p>
          <w:p w14:paraId="6DE401AE" w14:textId="77777777" w:rsidR="00936637" w:rsidRPr="00997B81" w:rsidRDefault="00936637" w:rsidP="00DA2F46">
            <w:pPr>
              <w:rPr>
                <w:rFonts w:cs="Arial"/>
                <w:sz w:val="22"/>
                <w:szCs w:val="22"/>
              </w:rPr>
            </w:pPr>
            <w:r w:rsidRPr="00997B81">
              <w:rPr>
                <w:rFonts w:cs="Arial"/>
                <w:sz w:val="22"/>
                <w:szCs w:val="22"/>
              </w:rPr>
              <w:t>The Provider will co-operate with any assessment of service user experience.</w:t>
            </w:r>
          </w:p>
          <w:p w14:paraId="5F215A62" w14:textId="77777777" w:rsidR="00936637" w:rsidRPr="00997B81" w:rsidRDefault="00936637" w:rsidP="00DA2F46">
            <w:pPr>
              <w:rPr>
                <w:rFonts w:cs="Arial"/>
                <w:sz w:val="22"/>
                <w:szCs w:val="22"/>
              </w:rPr>
            </w:pPr>
          </w:p>
          <w:p w14:paraId="1D954A47" w14:textId="77777777" w:rsidR="00936637" w:rsidRPr="00997B81" w:rsidRDefault="00936637" w:rsidP="00DA2F46">
            <w:pPr>
              <w:rPr>
                <w:rFonts w:eastAsia="MS ??" w:cs="Arial"/>
                <w:b/>
                <w:sz w:val="22"/>
                <w:szCs w:val="22"/>
              </w:rPr>
            </w:pPr>
            <w:r w:rsidRPr="00997B81">
              <w:rPr>
                <w:rFonts w:cs="Arial"/>
                <w:b/>
                <w:bCs/>
                <w:sz w:val="22"/>
                <w:szCs w:val="22"/>
              </w:rPr>
              <w:t xml:space="preserve">4.4 </w:t>
            </w:r>
            <w:r w:rsidRPr="00997B81">
              <w:rPr>
                <w:rFonts w:eastAsia="MS ??" w:cs="Arial"/>
                <w:b/>
                <w:sz w:val="22"/>
                <w:szCs w:val="22"/>
              </w:rPr>
              <w:t>Invoicing &amp; Payments</w:t>
            </w:r>
          </w:p>
          <w:p w14:paraId="034F561F" w14:textId="77777777" w:rsidR="00936637" w:rsidRPr="00997B81" w:rsidRDefault="00936637" w:rsidP="00DA2F46">
            <w:pPr>
              <w:rPr>
                <w:rFonts w:eastAsia="MS ??" w:cs="Arial"/>
                <w:b/>
                <w:sz w:val="22"/>
                <w:szCs w:val="22"/>
              </w:rPr>
            </w:pPr>
          </w:p>
          <w:p w14:paraId="15A78BF3"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 xml:space="preserve">In order to comply with data collection and invoicing requirements pharmacies will ensure that each exchange is recorded on the </w:t>
            </w:r>
            <w:proofErr w:type="spellStart"/>
            <w:r w:rsidRPr="00997B81">
              <w:rPr>
                <w:rFonts w:cs="Arial"/>
                <w:sz w:val="22"/>
                <w:szCs w:val="22"/>
              </w:rPr>
              <w:t>Pharmoutcomes</w:t>
            </w:r>
            <w:proofErr w:type="spellEnd"/>
            <w:r w:rsidRPr="00997B81">
              <w:rPr>
                <w:rFonts w:cs="Arial"/>
                <w:sz w:val="22"/>
                <w:szCs w:val="22"/>
              </w:rPr>
              <w:t xml:space="preserve"> system.</w:t>
            </w:r>
          </w:p>
          <w:p w14:paraId="57B0B4F5" w14:textId="77777777" w:rsidR="00936637" w:rsidRPr="00997B81" w:rsidRDefault="00936637" w:rsidP="00DA2F46">
            <w:pPr>
              <w:pStyle w:val="ListParagraph"/>
              <w:rPr>
                <w:rFonts w:cs="Arial"/>
                <w:sz w:val="22"/>
                <w:szCs w:val="22"/>
              </w:rPr>
            </w:pPr>
          </w:p>
          <w:p w14:paraId="311AF704"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 xml:space="preserve">Pharmacies are responsible for keeping service user records up to date via </w:t>
            </w:r>
            <w:proofErr w:type="spellStart"/>
            <w:r w:rsidRPr="00997B81">
              <w:rPr>
                <w:rFonts w:cs="Arial"/>
                <w:sz w:val="22"/>
                <w:szCs w:val="22"/>
              </w:rPr>
              <w:t>Pharmoutcomes</w:t>
            </w:r>
            <w:proofErr w:type="spellEnd"/>
            <w:r w:rsidRPr="00997B81">
              <w:rPr>
                <w:rFonts w:cs="Arial"/>
                <w:sz w:val="22"/>
                <w:szCs w:val="22"/>
              </w:rPr>
              <w:t>.</w:t>
            </w:r>
          </w:p>
          <w:p w14:paraId="72833063" w14:textId="77777777" w:rsidR="00936637" w:rsidRPr="00997B81" w:rsidRDefault="00936637" w:rsidP="00DA2F46">
            <w:pPr>
              <w:rPr>
                <w:rFonts w:cs="Arial"/>
                <w:sz w:val="22"/>
                <w:szCs w:val="22"/>
              </w:rPr>
            </w:pPr>
          </w:p>
          <w:p w14:paraId="2DE4414C"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 xml:space="preserve">Invoices for the previous month’s exchange activity will automatically be generated through the </w:t>
            </w:r>
            <w:proofErr w:type="spellStart"/>
            <w:r w:rsidRPr="00997B81">
              <w:rPr>
                <w:rFonts w:cs="Arial"/>
                <w:sz w:val="22"/>
                <w:szCs w:val="22"/>
              </w:rPr>
              <w:t>Pharmoutcomes</w:t>
            </w:r>
            <w:proofErr w:type="spellEnd"/>
            <w:r w:rsidRPr="00997B81">
              <w:rPr>
                <w:rFonts w:cs="Arial"/>
                <w:sz w:val="22"/>
                <w:szCs w:val="22"/>
              </w:rPr>
              <w:t xml:space="preserve"> system on the 7th day of each month. It is the </w:t>
            </w:r>
            <w:r>
              <w:rPr>
                <w:rFonts w:cs="Arial"/>
                <w:sz w:val="22"/>
                <w:szCs w:val="22"/>
              </w:rPr>
              <w:t>Provider</w:t>
            </w:r>
            <w:r w:rsidRPr="00997B81">
              <w:rPr>
                <w:rFonts w:cs="Arial"/>
                <w:sz w:val="22"/>
                <w:szCs w:val="22"/>
              </w:rPr>
              <w:t xml:space="preserve">’s responsibility to ensure that all activity is recorded on </w:t>
            </w:r>
            <w:proofErr w:type="spellStart"/>
            <w:r w:rsidRPr="00997B81">
              <w:rPr>
                <w:rFonts w:cs="Arial"/>
                <w:sz w:val="22"/>
                <w:szCs w:val="22"/>
              </w:rPr>
              <w:t>Pharmoutcomes</w:t>
            </w:r>
            <w:proofErr w:type="spellEnd"/>
            <w:r w:rsidRPr="00997B81">
              <w:rPr>
                <w:rFonts w:cs="Arial"/>
                <w:sz w:val="22"/>
                <w:szCs w:val="22"/>
              </w:rPr>
              <w:t xml:space="preserve"> prior to this date.</w:t>
            </w:r>
          </w:p>
          <w:p w14:paraId="28A9D9DA" w14:textId="77777777" w:rsidR="00936637" w:rsidRPr="00997B81" w:rsidRDefault="00936637" w:rsidP="00DA2F46">
            <w:pPr>
              <w:rPr>
                <w:rFonts w:cs="Arial"/>
                <w:sz w:val="22"/>
                <w:szCs w:val="22"/>
              </w:rPr>
            </w:pPr>
          </w:p>
          <w:p w14:paraId="1717407D"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Payment will be made via BACS to the bank account details provided.</w:t>
            </w:r>
          </w:p>
          <w:p w14:paraId="7211A90A" w14:textId="77777777" w:rsidR="00936637" w:rsidRPr="00997B81" w:rsidRDefault="00936637" w:rsidP="00DA2F46">
            <w:pPr>
              <w:pStyle w:val="ListParagraph"/>
              <w:rPr>
                <w:rFonts w:cs="Arial"/>
                <w:sz w:val="22"/>
                <w:szCs w:val="22"/>
              </w:rPr>
            </w:pPr>
          </w:p>
          <w:p w14:paraId="2A8ED63A"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 xml:space="preserve">In order to comply with data collection and invoicing requirements pharmacies will ensure that each supervised consumption is recorded on the </w:t>
            </w:r>
            <w:proofErr w:type="spellStart"/>
            <w:r w:rsidRPr="00997B81">
              <w:rPr>
                <w:rFonts w:cs="Arial"/>
                <w:sz w:val="22"/>
                <w:szCs w:val="22"/>
              </w:rPr>
              <w:t>Pharmoutcomes</w:t>
            </w:r>
            <w:proofErr w:type="spellEnd"/>
            <w:r w:rsidRPr="00997B81">
              <w:rPr>
                <w:rFonts w:cs="Arial"/>
                <w:sz w:val="22"/>
                <w:szCs w:val="22"/>
              </w:rPr>
              <w:t xml:space="preserve"> system.</w:t>
            </w:r>
          </w:p>
          <w:p w14:paraId="44BD30A2" w14:textId="77777777" w:rsidR="00936637" w:rsidRPr="00997B81" w:rsidRDefault="00936637" w:rsidP="00DA2F46">
            <w:pPr>
              <w:rPr>
                <w:rFonts w:cs="Arial"/>
                <w:sz w:val="22"/>
                <w:szCs w:val="22"/>
              </w:rPr>
            </w:pPr>
          </w:p>
          <w:p w14:paraId="28FF8E38"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Pharmacies can claim £40 per client per month who are in receipt of OST via supervised consumption.</w:t>
            </w:r>
          </w:p>
          <w:p w14:paraId="6EFFCC3D" w14:textId="77777777" w:rsidR="00936637" w:rsidRPr="00997B81" w:rsidRDefault="00936637" w:rsidP="00DA2F46">
            <w:pPr>
              <w:pStyle w:val="ListParagraph"/>
              <w:rPr>
                <w:rFonts w:cs="Arial"/>
                <w:sz w:val="22"/>
                <w:szCs w:val="22"/>
              </w:rPr>
            </w:pPr>
          </w:p>
          <w:p w14:paraId="664B2E74"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 xml:space="preserve">Ensure that the following information is uploaded to </w:t>
            </w:r>
            <w:proofErr w:type="spellStart"/>
            <w:r w:rsidRPr="00997B81">
              <w:rPr>
                <w:rFonts w:cs="Arial"/>
                <w:sz w:val="22"/>
                <w:szCs w:val="22"/>
              </w:rPr>
              <w:t>Pharmoutcomes</w:t>
            </w:r>
            <w:proofErr w:type="spellEnd"/>
            <w:r w:rsidRPr="00997B81">
              <w:rPr>
                <w:rFonts w:cs="Arial"/>
                <w:sz w:val="22"/>
                <w:szCs w:val="22"/>
              </w:rPr>
              <w:t xml:space="preserve"> on every occasion:</w:t>
            </w:r>
          </w:p>
          <w:p w14:paraId="6D42005D" w14:textId="77777777" w:rsidR="00936637" w:rsidRPr="00997B81" w:rsidRDefault="00936637" w:rsidP="00DA2F46">
            <w:pPr>
              <w:pStyle w:val="ListParagraph"/>
              <w:rPr>
                <w:rFonts w:cs="Arial"/>
                <w:sz w:val="22"/>
                <w:szCs w:val="22"/>
              </w:rPr>
            </w:pPr>
          </w:p>
          <w:p w14:paraId="1814E307"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 xml:space="preserve">Number of supervised consumptions per calendar month </w:t>
            </w:r>
          </w:p>
          <w:p w14:paraId="7456451A"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Service Users Initials</w:t>
            </w:r>
          </w:p>
          <w:p w14:paraId="2CA5F42D"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Service Users Age</w:t>
            </w:r>
          </w:p>
          <w:p w14:paraId="75953464"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 xml:space="preserve">Therapy type </w:t>
            </w:r>
          </w:p>
          <w:p w14:paraId="7807DC8E"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 xml:space="preserve">Day/date of attendance </w:t>
            </w:r>
          </w:p>
          <w:p w14:paraId="60A53A15"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Details of supervision</w:t>
            </w:r>
          </w:p>
          <w:p w14:paraId="3DB21344"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Reason for refusal (if appropriate)</w:t>
            </w:r>
          </w:p>
          <w:p w14:paraId="7399F729" w14:textId="77777777" w:rsidR="00936637" w:rsidRPr="00997B81" w:rsidRDefault="00936637" w:rsidP="00DA2F46">
            <w:pPr>
              <w:rPr>
                <w:rFonts w:cs="Arial"/>
                <w:sz w:val="22"/>
                <w:szCs w:val="22"/>
              </w:rPr>
            </w:pPr>
          </w:p>
          <w:p w14:paraId="74ABC977" w14:textId="77777777" w:rsidR="00936637" w:rsidRPr="00997B81" w:rsidRDefault="00936637" w:rsidP="00DA2F46">
            <w:pPr>
              <w:rPr>
                <w:rFonts w:cs="Arial"/>
                <w:sz w:val="22"/>
                <w:szCs w:val="22"/>
              </w:rPr>
            </w:pPr>
            <w:r w:rsidRPr="00997B81">
              <w:rPr>
                <w:rFonts w:cs="Arial"/>
                <w:sz w:val="22"/>
                <w:szCs w:val="22"/>
              </w:rPr>
              <w:t xml:space="preserve">Ensure that the following information is uploaded to </w:t>
            </w:r>
            <w:proofErr w:type="spellStart"/>
            <w:r w:rsidRPr="00997B81">
              <w:rPr>
                <w:rFonts w:cs="Arial"/>
                <w:sz w:val="22"/>
                <w:szCs w:val="22"/>
              </w:rPr>
              <w:t>PharmOutcomes</w:t>
            </w:r>
            <w:proofErr w:type="spellEnd"/>
            <w:r w:rsidRPr="00997B81">
              <w:rPr>
                <w:rFonts w:cs="Arial"/>
                <w:sz w:val="22"/>
                <w:szCs w:val="22"/>
              </w:rPr>
              <w:t xml:space="preserve"> upon completion of a wellbeing check in:</w:t>
            </w:r>
          </w:p>
          <w:p w14:paraId="7D5CD7E2"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Service Users Initials</w:t>
            </w:r>
          </w:p>
          <w:p w14:paraId="6DD2EA77"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Service Users Age</w:t>
            </w:r>
          </w:p>
          <w:p w14:paraId="4F79D0B0"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 xml:space="preserve">Contact details checked Y/N?” completed </w:t>
            </w:r>
          </w:p>
          <w:p w14:paraId="0F47DAB7" w14:textId="77777777" w:rsidR="00936637" w:rsidRPr="00997B81" w:rsidRDefault="00936637" w:rsidP="00936637">
            <w:pPr>
              <w:pStyle w:val="ListParagraph"/>
              <w:numPr>
                <w:ilvl w:val="0"/>
                <w:numId w:val="6"/>
              </w:numPr>
              <w:rPr>
                <w:rFonts w:cs="Arial"/>
                <w:sz w:val="22"/>
                <w:szCs w:val="22"/>
              </w:rPr>
            </w:pPr>
            <w:r w:rsidRPr="00997B81">
              <w:rPr>
                <w:rFonts w:cs="Arial"/>
                <w:sz w:val="22"/>
                <w:szCs w:val="22"/>
              </w:rPr>
              <w:t>Origin of wellbeing check in (GRP/Provider/SU)</w:t>
            </w:r>
          </w:p>
          <w:p w14:paraId="529E4BBD" w14:textId="77777777" w:rsidR="00936637" w:rsidRDefault="00936637" w:rsidP="00936637">
            <w:pPr>
              <w:pStyle w:val="ListParagraph"/>
              <w:numPr>
                <w:ilvl w:val="0"/>
                <w:numId w:val="6"/>
              </w:numPr>
              <w:rPr>
                <w:rFonts w:cs="Arial"/>
                <w:sz w:val="22"/>
                <w:szCs w:val="22"/>
              </w:rPr>
            </w:pPr>
            <w:r w:rsidRPr="00997B81">
              <w:rPr>
                <w:rFonts w:cs="Arial"/>
                <w:sz w:val="22"/>
                <w:szCs w:val="22"/>
              </w:rPr>
              <w:t>Reasons for wellbeing check in (</w:t>
            </w:r>
            <w:r w:rsidRPr="00AC4AB8">
              <w:rPr>
                <w:rFonts w:cs="Arial"/>
                <w:sz w:val="22"/>
                <w:szCs w:val="22"/>
              </w:rPr>
              <w:t>Day/date of attendance</w:t>
            </w:r>
          </w:p>
          <w:p w14:paraId="1DCC606A" w14:textId="77777777" w:rsidR="00936637" w:rsidRPr="00E1705B" w:rsidRDefault="00936637" w:rsidP="00936637">
            <w:pPr>
              <w:pStyle w:val="ListParagraph"/>
              <w:numPr>
                <w:ilvl w:val="0"/>
                <w:numId w:val="6"/>
              </w:numPr>
              <w:rPr>
                <w:rFonts w:cs="Arial"/>
                <w:sz w:val="22"/>
                <w:szCs w:val="22"/>
              </w:rPr>
            </w:pPr>
            <w:r w:rsidRPr="00E1705B">
              <w:rPr>
                <w:rFonts w:cs="Arial"/>
                <w:sz w:val="22"/>
                <w:szCs w:val="22"/>
              </w:rPr>
              <w:lastRenderedPageBreak/>
              <w:t xml:space="preserve"> Reason for refusal (if appropriate)</w:t>
            </w:r>
          </w:p>
        </w:tc>
      </w:tr>
    </w:tbl>
    <w:p w14:paraId="1A7D3C8F" w14:textId="77777777" w:rsidR="00936637" w:rsidRPr="00997B81" w:rsidRDefault="00936637" w:rsidP="00936637">
      <w:pPr>
        <w:rPr>
          <w:rFonts w:cs="Arial"/>
          <w:sz w:val="22"/>
          <w:szCs w:val="22"/>
        </w:rPr>
      </w:pPr>
    </w:p>
    <w:p w14:paraId="5188F717" w14:textId="77777777" w:rsidR="00936637" w:rsidRPr="00997B81" w:rsidRDefault="00936637" w:rsidP="00936637">
      <w:pPr>
        <w:rPr>
          <w:rFonts w:cs="Arial"/>
          <w:sz w:val="22"/>
          <w:szCs w:val="22"/>
        </w:rPr>
      </w:pPr>
    </w:p>
    <w:p w14:paraId="0E7C0F97" w14:textId="77777777" w:rsidR="00936637" w:rsidRPr="00997B81" w:rsidRDefault="00936637" w:rsidP="00936637">
      <w:pPr>
        <w:rPr>
          <w:rFonts w:cs="Arial"/>
          <w:sz w:val="22"/>
          <w:szCs w:val="22"/>
        </w:rPr>
      </w:pPr>
    </w:p>
    <w:p w14:paraId="486ECC5A" w14:textId="77777777" w:rsidR="00936637" w:rsidRPr="00997B81" w:rsidRDefault="00936637" w:rsidP="00936637">
      <w:pPr>
        <w:rPr>
          <w:rFonts w:cs="Arial"/>
          <w:sz w:val="22"/>
          <w:szCs w:val="22"/>
        </w:rPr>
      </w:pPr>
    </w:p>
    <w:p w14:paraId="5DA270E2" w14:textId="77777777" w:rsidR="00936637" w:rsidRPr="00997B81" w:rsidRDefault="00936637" w:rsidP="00936637">
      <w:pPr>
        <w:rPr>
          <w:rFonts w:cs="Arial"/>
          <w:sz w:val="22"/>
          <w:szCs w:val="22"/>
        </w:rPr>
      </w:pPr>
    </w:p>
    <w:p w14:paraId="3BD1864A" w14:textId="77777777" w:rsidR="00936637" w:rsidRPr="00997B81" w:rsidRDefault="00936637" w:rsidP="00936637">
      <w:pPr>
        <w:rPr>
          <w:rFonts w:cs="Arial"/>
          <w:sz w:val="22"/>
          <w:szCs w:val="22"/>
        </w:rPr>
      </w:pPr>
    </w:p>
    <w:p w14:paraId="685D50AC" w14:textId="77777777" w:rsidR="000A7E56" w:rsidRDefault="000A7E56"/>
    <w:sectPr w:rsidR="000A7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642"/>
    <w:multiLevelType w:val="hybridMultilevel"/>
    <w:tmpl w:val="2874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7B66"/>
    <w:multiLevelType w:val="hybridMultilevel"/>
    <w:tmpl w:val="8DE0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75CE7"/>
    <w:multiLevelType w:val="hybridMultilevel"/>
    <w:tmpl w:val="914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F2FEC"/>
    <w:multiLevelType w:val="hybridMultilevel"/>
    <w:tmpl w:val="704E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A4F5B"/>
    <w:multiLevelType w:val="hybridMultilevel"/>
    <w:tmpl w:val="552C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C2DAA"/>
    <w:multiLevelType w:val="hybridMultilevel"/>
    <w:tmpl w:val="2B00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191100">
    <w:abstractNumId w:val="2"/>
  </w:num>
  <w:num w:numId="2" w16cid:durableId="250772645">
    <w:abstractNumId w:val="1"/>
  </w:num>
  <w:num w:numId="3" w16cid:durableId="772019871">
    <w:abstractNumId w:val="5"/>
  </w:num>
  <w:num w:numId="4" w16cid:durableId="679895259">
    <w:abstractNumId w:val="3"/>
  </w:num>
  <w:num w:numId="5" w16cid:durableId="1853255017">
    <w:abstractNumId w:val="4"/>
  </w:num>
  <w:num w:numId="6" w16cid:durableId="75845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37"/>
    <w:rsid w:val="000A7E56"/>
    <w:rsid w:val="007165CB"/>
    <w:rsid w:val="0093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7A6B"/>
  <w15:chartTrackingRefBased/>
  <w15:docId w15:val="{03A9C05A-CA8A-46B6-9E22-E5DD09B8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37"/>
    <w:pPr>
      <w:suppressAutoHyphens/>
      <w:spacing w:after="0" w:line="240" w:lineRule="auto"/>
      <w:jc w:val="both"/>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6637"/>
    <w:rPr>
      <w:rFonts w:ascii="Arial" w:hAnsi="Arial" w:cs="Times New Roman"/>
      <w:color w:val="0000FF"/>
      <w:sz w:val="24"/>
      <w:u w:val="single"/>
    </w:rPr>
  </w:style>
  <w:style w:type="paragraph" w:styleId="CommentText">
    <w:name w:val="annotation text"/>
    <w:basedOn w:val="Normal"/>
    <w:link w:val="CommentTextChar"/>
    <w:uiPriority w:val="99"/>
    <w:semiHidden/>
    <w:rsid w:val="00936637"/>
    <w:rPr>
      <w:sz w:val="20"/>
    </w:rPr>
  </w:style>
  <w:style w:type="character" w:customStyle="1" w:styleId="CommentTextChar">
    <w:name w:val="Comment Text Char"/>
    <w:basedOn w:val="DefaultParagraphFont"/>
    <w:link w:val="CommentText"/>
    <w:uiPriority w:val="99"/>
    <w:semiHidden/>
    <w:rsid w:val="00936637"/>
    <w:rPr>
      <w:rFonts w:ascii="Arial" w:eastAsia="Times New Roman" w:hAnsi="Arial" w:cs="Times New Roman"/>
      <w:kern w:val="0"/>
      <w:sz w:val="20"/>
      <w:szCs w:val="20"/>
      <w14:ligatures w14:val="none"/>
    </w:rPr>
  </w:style>
  <w:style w:type="table" w:styleId="TableGrid">
    <w:name w:val="Table Grid"/>
    <w:basedOn w:val="TableNormal"/>
    <w:uiPriority w:val="39"/>
    <w:rsid w:val="00936637"/>
    <w:pPr>
      <w:suppressAutoHyphens/>
      <w:spacing w:after="0" w:line="240" w:lineRule="auto"/>
      <w:jc w:val="both"/>
    </w:pPr>
    <w:rPr>
      <w:rFonts w:ascii="Arial" w:eastAsia="Times New Roman" w:hAnsi="Arial" w:cs="Times New Roman"/>
      <w:kern w:val="0"/>
      <w:sz w:val="24"/>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36637"/>
    <w:pPr>
      <w:ind w:left="720"/>
    </w:pPr>
  </w:style>
  <w:style w:type="paragraph" w:styleId="BodyText">
    <w:name w:val="Body Text"/>
    <w:basedOn w:val="Normal"/>
    <w:link w:val="BodyTextChar"/>
    <w:rsid w:val="00936637"/>
    <w:pPr>
      <w:suppressAutoHyphens w:val="0"/>
      <w:jc w:val="left"/>
    </w:pPr>
    <w:rPr>
      <w:rFonts w:eastAsia="MS ??"/>
      <w:sz w:val="22"/>
    </w:rPr>
  </w:style>
  <w:style w:type="character" w:customStyle="1" w:styleId="BodyTextChar">
    <w:name w:val="Body Text Char"/>
    <w:basedOn w:val="DefaultParagraphFont"/>
    <w:link w:val="BodyText"/>
    <w:rsid w:val="00936637"/>
    <w:rPr>
      <w:rFonts w:ascii="Arial" w:eastAsia="MS ??" w:hAnsi="Arial" w:cs="Times New Roman"/>
      <w:kern w:val="0"/>
      <w:szCs w:val="20"/>
      <w14:ligatures w14:val="none"/>
    </w:rPr>
  </w:style>
  <w:style w:type="paragraph" w:customStyle="1" w:styleId="Pa3">
    <w:name w:val="Pa3"/>
    <w:basedOn w:val="Normal"/>
    <w:next w:val="Normal"/>
    <w:uiPriority w:val="99"/>
    <w:rsid w:val="00936637"/>
    <w:pPr>
      <w:suppressAutoHyphens w:val="0"/>
      <w:autoSpaceDE w:val="0"/>
      <w:autoSpaceDN w:val="0"/>
      <w:adjustRightInd w:val="0"/>
      <w:spacing w:line="241" w:lineRule="atLeast"/>
      <w:jc w:val="left"/>
    </w:pPr>
    <w:rPr>
      <w:rFonts w:ascii="HelveticaNeueLT Std Lt" w:eastAsiaTheme="minorHAnsi" w:hAnsi="HelveticaNeueLT Std Lt" w:cstheme="minorBidi"/>
      <w:szCs w:val="24"/>
    </w:rPr>
  </w:style>
  <w:style w:type="character" w:customStyle="1" w:styleId="ListParagraphChar">
    <w:name w:val="List Paragraph Char"/>
    <w:link w:val="ListParagraph"/>
    <w:locked/>
    <w:rsid w:val="00936637"/>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73978/clinical_guidelines_2017.pdf" TargetMode="External"/><Relationship Id="rId13" Type="http://schemas.openxmlformats.org/officeDocument/2006/relationships/hyperlink" Target="https://www.cppe.ac.uk/programmes/l?t=Addict-E-02&amp;evid=53098"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73978/clinical_guidelines_2017.pdf" TargetMode="External"/><Relationship Id="rId12" Type="http://schemas.openxmlformats.org/officeDocument/2006/relationships/hyperlink" Target="https://www.cppe.ac.uk/programmes/l?t=SubstanceEC-A-03&amp;evid=56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ta114/chapter/1-guidance" TargetMode="External"/><Relationship Id="rId11" Type="http://schemas.openxmlformats.org/officeDocument/2006/relationships/hyperlink" Target="https://www.cppe.ac.uk/programmes/l?t=Substance-E-02&amp;evid=53231" TargetMode="External"/><Relationship Id="rId5" Type="http://schemas.openxmlformats.org/officeDocument/2006/relationships/hyperlink" Target="https://assets.publishing.service.gov.uk/government/uploads/system/uploads/attachment_data/file/1079147/From_harm_to_hope_PDF.pdf" TargetMode="External"/><Relationship Id="rId15" Type="http://schemas.openxmlformats.org/officeDocument/2006/relationships/theme" Target="theme/theme1.xml"/><Relationship Id="rId10" Type="http://schemas.openxmlformats.org/officeDocument/2006/relationships/hyperlink" Target="https://www.cppe.ac.uk/services/docs/supervised%20consumption%20of%20prescribed%20medicines.pdf" TargetMode="External"/><Relationship Id="rId4" Type="http://schemas.openxmlformats.org/officeDocument/2006/relationships/webSettings" Target="webSettings.xml"/><Relationship Id="rId9" Type="http://schemas.openxmlformats.org/officeDocument/2006/relationships/hyperlink" Target="https://www.nice.org.uk/guidance/ta114/chapter/1-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12670</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Murphy</dc:creator>
  <cp:keywords/>
  <dc:description/>
  <cp:lastModifiedBy>Helen Murphy</cp:lastModifiedBy>
  <cp:revision>1</cp:revision>
  <dcterms:created xsi:type="dcterms:W3CDTF">2023-10-11T15:26:00Z</dcterms:created>
  <dcterms:modified xsi:type="dcterms:W3CDTF">2023-10-11T15:28:00Z</dcterms:modified>
</cp:coreProperties>
</file>