
<file path=[Content_Types].xml><?xml version="1.0" encoding="utf-8"?>
<Types xmlns="http://schemas.openxmlformats.org/package/2006/content-types">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073"/>
        <w:gridCol w:w="6035"/>
      </w:tblGrid>
      <w:tr w:rsidR="005257BD" w:rsidRPr="00997B81" w14:paraId="56927CCB" w14:textId="77777777" w:rsidTr="00DA2F46">
        <w:trPr>
          <w:trHeight w:val="345"/>
        </w:trPr>
        <w:tc>
          <w:tcPr>
            <w:tcW w:w="3073" w:type="dxa"/>
            <w:tcBorders>
              <w:top w:val="single" w:sz="4" w:space="0" w:color="808080"/>
              <w:left w:val="single" w:sz="4" w:space="0" w:color="808080"/>
              <w:bottom w:val="single" w:sz="4" w:space="0" w:color="808080"/>
              <w:right w:val="single" w:sz="4" w:space="0" w:color="808080"/>
            </w:tcBorders>
            <w:shd w:val="clear" w:color="auto" w:fill="595959"/>
            <w:vAlign w:val="center"/>
          </w:tcPr>
          <w:p w14:paraId="63885B65" w14:textId="77777777" w:rsidR="005257BD" w:rsidRPr="00997B81" w:rsidRDefault="005257BD" w:rsidP="00DA2F46">
            <w:pPr>
              <w:rPr>
                <w:rFonts w:eastAsia="MS ??" w:cs="Arial"/>
                <w:b/>
                <w:color w:val="FFFFFF"/>
                <w:sz w:val="22"/>
                <w:szCs w:val="22"/>
              </w:rPr>
            </w:pPr>
            <w:r w:rsidRPr="00997B81">
              <w:rPr>
                <w:rFonts w:eastAsia="MS ??" w:cs="Arial"/>
                <w:b/>
                <w:color w:val="FFFFFF"/>
                <w:sz w:val="22"/>
                <w:szCs w:val="22"/>
              </w:rPr>
              <w:t xml:space="preserve">Service Specification No. </w:t>
            </w:r>
          </w:p>
        </w:tc>
        <w:tc>
          <w:tcPr>
            <w:tcW w:w="6035" w:type="dxa"/>
            <w:tcBorders>
              <w:top w:val="single" w:sz="4" w:space="0" w:color="808080"/>
              <w:left w:val="single" w:sz="4" w:space="0" w:color="808080"/>
              <w:bottom w:val="single" w:sz="4" w:space="0" w:color="808080"/>
              <w:right w:val="single" w:sz="4" w:space="0" w:color="808080"/>
            </w:tcBorders>
            <w:vAlign w:val="center"/>
          </w:tcPr>
          <w:p w14:paraId="01272A68" w14:textId="77777777" w:rsidR="005257BD" w:rsidRPr="00997B81" w:rsidRDefault="005257BD" w:rsidP="00DA2F46">
            <w:pPr>
              <w:rPr>
                <w:rFonts w:eastAsia="MS ??" w:cs="Arial"/>
                <w:b/>
                <w:bCs/>
                <w:sz w:val="22"/>
                <w:szCs w:val="22"/>
              </w:rPr>
            </w:pPr>
            <w:r w:rsidRPr="00997B81">
              <w:rPr>
                <w:rFonts w:eastAsia="MS ??" w:cs="Arial"/>
                <w:b/>
                <w:bCs/>
                <w:sz w:val="22"/>
                <w:szCs w:val="22"/>
              </w:rPr>
              <w:t>2</w:t>
            </w:r>
          </w:p>
        </w:tc>
      </w:tr>
      <w:tr w:rsidR="005257BD" w:rsidRPr="00997B81" w14:paraId="686AD8F7" w14:textId="77777777" w:rsidTr="00DA2F46">
        <w:trPr>
          <w:trHeight w:val="345"/>
        </w:trPr>
        <w:tc>
          <w:tcPr>
            <w:tcW w:w="3073" w:type="dxa"/>
            <w:tcBorders>
              <w:top w:val="single" w:sz="4" w:space="0" w:color="808080"/>
              <w:left w:val="single" w:sz="4" w:space="0" w:color="808080"/>
              <w:bottom w:val="single" w:sz="4" w:space="0" w:color="808080"/>
              <w:right w:val="single" w:sz="4" w:space="0" w:color="808080"/>
            </w:tcBorders>
            <w:shd w:val="clear" w:color="auto" w:fill="595959"/>
            <w:vAlign w:val="center"/>
          </w:tcPr>
          <w:p w14:paraId="4CCA6D9C" w14:textId="77777777" w:rsidR="005257BD" w:rsidRPr="00997B81" w:rsidRDefault="005257BD" w:rsidP="00DA2F46">
            <w:pPr>
              <w:rPr>
                <w:rFonts w:eastAsia="MS ??" w:cs="Arial"/>
                <w:b/>
                <w:color w:val="FFFFFF"/>
                <w:sz w:val="22"/>
                <w:szCs w:val="22"/>
              </w:rPr>
            </w:pPr>
            <w:r w:rsidRPr="00997B81">
              <w:rPr>
                <w:rFonts w:eastAsia="MS ??" w:cs="Arial"/>
                <w:b/>
                <w:color w:val="FFFFFF"/>
                <w:sz w:val="22"/>
                <w:szCs w:val="22"/>
              </w:rPr>
              <w:t>Service</w:t>
            </w:r>
          </w:p>
        </w:tc>
        <w:tc>
          <w:tcPr>
            <w:tcW w:w="6035" w:type="dxa"/>
            <w:tcBorders>
              <w:top w:val="single" w:sz="4" w:space="0" w:color="808080"/>
              <w:left w:val="single" w:sz="4" w:space="0" w:color="808080"/>
              <w:bottom w:val="single" w:sz="4" w:space="0" w:color="808080"/>
              <w:right w:val="single" w:sz="4" w:space="0" w:color="808080"/>
            </w:tcBorders>
            <w:vAlign w:val="center"/>
          </w:tcPr>
          <w:p w14:paraId="0CDBD443" w14:textId="77777777" w:rsidR="005257BD" w:rsidRPr="00997B81" w:rsidRDefault="005257BD" w:rsidP="00DA2F46">
            <w:pPr>
              <w:rPr>
                <w:rFonts w:eastAsia="MS ??" w:cs="Arial"/>
                <w:b/>
                <w:bCs/>
                <w:sz w:val="22"/>
                <w:szCs w:val="22"/>
              </w:rPr>
            </w:pPr>
            <w:r w:rsidRPr="00997B81">
              <w:rPr>
                <w:rFonts w:eastAsia="MS ??" w:cs="Arial"/>
                <w:b/>
                <w:bCs/>
                <w:sz w:val="22"/>
                <w:szCs w:val="22"/>
              </w:rPr>
              <w:t>Community Pharmacy Needle and Syringe Programme (NSP)</w:t>
            </w:r>
          </w:p>
        </w:tc>
      </w:tr>
    </w:tbl>
    <w:p w14:paraId="661278A2" w14:textId="77777777" w:rsidR="005257BD" w:rsidRPr="00997B81" w:rsidRDefault="005257BD" w:rsidP="005257BD">
      <w:pPr>
        <w:rPr>
          <w:rFonts w:cs="Arial"/>
          <w:sz w:val="22"/>
          <w:szCs w:val="22"/>
        </w:rPr>
      </w:pPr>
    </w:p>
    <w:tbl>
      <w:tblPr>
        <w:tblpPr w:leftFromText="180" w:rightFromText="180" w:vertAnchor="text" w:horzAnchor="margin" w:tblpXSpec="center" w:tblpY="9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5257BD" w:rsidRPr="00997B81" w14:paraId="1F068175" w14:textId="77777777" w:rsidTr="00DA2F46">
        <w:tc>
          <w:tcPr>
            <w:tcW w:w="10485" w:type="dxa"/>
            <w:tcBorders>
              <w:top w:val="single" w:sz="4" w:space="0" w:color="999999"/>
              <w:left w:val="single" w:sz="4" w:space="0" w:color="999999"/>
              <w:bottom w:val="single" w:sz="4" w:space="0" w:color="999999"/>
              <w:right w:val="single" w:sz="4" w:space="0" w:color="999999"/>
            </w:tcBorders>
            <w:shd w:val="clear" w:color="auto" w:fill="666666"/>
          </w:tcPr>
          <w:p w14:paraId="6DAAD72F" w14:textId="77777777" w:rsidR="005257BD" w:rsidRPr="00997B81" w:rsidRDefault="005257BD" w:rsidP="00DA2F46">
            <w:pPr>
              <w:rPr>
                <w:rFonts w:eastAsia="MS ??" w:cs="Arial"/>
                <w:b/>
                <w:color w:val="FFFFFF"/>
                <w:sz w:val="22"/>
                <w:szCs w:val="22"/>
              </w:rPr>
            </w:pPr>
          </w:p>
          <w:p w14:paraId="4E0E1B56" w14:textId="77777777" w:rsidR="005257BD" w:rsidRPr="00997B81" w:rsidRDefault="005257BD" w:rsidP="00DA2F46">
            <w:pPr>
              <w:rPr>
                <w:rFonts w:eastAsia="MS ??" w:cs="Arial"/>
                <w:b/>
                <w:color w:val="FFFFFF"/>
                <w:sz w:val="22"/>
                <w:szCs w:val="22"/>
              </w:rPr>
            </w:pPr>
            <w:r w:rsidRPr="00997B81">
              <w:rPr>
                <w:rFonts w:eastAsia="MS ??" w:cs="Arial"/>
                <w:b/>
                <w:color w:val="FFFFFF"/>
                <w:sz w:val="22"/>
                <w:szCs w:val="22"/>
              </w:rPr>
              <w:t>1. Population Needs</w:t>
            </w:r>
          </w:p>
          <w:p w14:paraId="0E3B966D" w14:textId="77777777" w:rsidR="005257BD" w:rsidRPr="00997B81" w:rsidRDefault="005257BD" w:rsidP="00DA2F46">
            <w:pPr>
              <w:rPr>
                <w:rFonts w:eastAsia="MS ??" w:cs="Arial"/>
                <w:b/>
                <w:color w:val="FFFFFF"/>
                <w:sz w:val="22"/>
                <w:szCs w:val="22"/>
              </w:rPr>
            </w:pPr>
          </w:p>
        </w:tc>
      </w:tr>
      <w:tr w:rsidR="005257BD" w:rsidRPr="00997B81" w14:paraId="7435341D" w14:textId="77777777" w:rsidTr="00DA2F46">
        <w:tc>
          <w:tcPr>
            <w:tcW w:w="10485" w:type="dxa"/>
            <w:tcBorders>
              <w:top w:val="single" w:sz="4" w:space="0" w:color="999999"/>
              <w:left w:val="single" w:sz="4" w:space="0" w:color="999999"/>
              <w:bottom w:val="single" w:sz="4" w:space="0" w:color="999999"/>
              <w:right w:val="single" w:sz="4" w:space="0" w:color="999999"/>
            </w:tcBorders>
          </w:tcPr>
          <w:p w14:paraId="57A11F46" w14:textId="77777777" w:rsidR="005257BD" w:rsidRPr="00997B81" w:rsidRDefault="005257BD" w:rsidP="00DA2F46">
            <w:pPr>
              <w:rPr>
                <w:rFonts w:eastAsia="MS ??" w:cs="Arial"/>
                <w:b/>
                <w:bCs/>
                <w:sz w:val="22"/>
                <w:szCs w:val="22"/>
              </w:rPr>
            </w:pPr>
          </w:p>
          <w:p w14:paraId="5B399BFE" w14:textId="77777777" w:rsidR="005257BD" w:rsidRPr="00997B81" w:rsidRDefault="005257BD" w:rsidP="00DA2F46">
            <w:pPr>
              <w:rPr>
                <w:rFonts w:cs="Arial"/>
                <w:b/>
                <w:bCs/>
                <w:sz w:val="22"/>
                <w:szCs w:val="22"/>
              </w:rPr>
            </w:pPr>
            <w:r w:rsidRPr="00997B81">
              <w:rPr>
                <w:rFonts w:cs="Arial"/>
                <w:b/>
                <w:bCs/>
                <w:sz w:val="22"/>
                <w:szCs w:val="22"/>
              </w:rPr>
              <w:t>1.1 National/local context and evidence base</w:t>
            </w:r>
          </w:p>
          <w:p w14:paraId="4C2237C3" w14:textId="77777777" w:rsidR="005257BD" w:rsidRPr="00997B81" w:rsidRDefault="005257BD" w:rsidP="00DA2F46">
            <w:pPr>
              <w:rPr>
                <w:rFonts w:cs="Arial"/>
                <w:bCs/>
                <w:sz w:val="22"/>
                <w:szCs w:val="22"/>
              </w:rPr>
            </w:pPr>
          </w:p>
          <w:p w14:paraId="57C22189" w14:textId="77777777" w:rsidR="005257BD" w:rsidRPr="00997B81" w:rsidRDefault="005257BD" w:rsidP="00DA2F46">
            <w:pPr>
              <w:autoSpaceDE w:val="0"/>
              <w:autoSpaceDN w:val="0"/>
              <w:adjustRightInd w:val="0"/>
              <w:spacing w:line="240" w:lineRule="atLeast"/>
              <w:rPr>
                <w:rFonts w:cs="Arial"/>
                <w:b/>
                <w:color w:val="000000" w:themeColor="text1"/>
                <w:sz w:val="22"/>
                <w:szCs w:val="22"/>
                <w:lang w:val="en-US"/>
              </w:rPr>
            </w:pPr>
            <w:r w:rsidRPr="00997B81">
              <w:rPr>
                <w:rFonts w:cs="Arial"/>
                <w:b/>
                <w:color w:val="000000" w:themeColor="text1"/>
                <w:sz w:val="22"/>
                <w:szCs w:val="22"/>
                <w:lang w:val="en-US"/>
              </w:rPr>
              <w:t>National Context:</w:t>
            </w:r>
          </w:p>
          <w:p w14:paraId="4D8D5B9C" w14:textId="77777777" w:rsidR="005257BD" w:rsidRPr="00997B81" w:rsidRDefault="005257BD" w:rsidP="00DA2F46">
            <w:pPr>
              <w:autoSpaceDE w:val="0"/>
              <w:autoSpaceDN w:val="0"/>
              <w:adjustRightInd w:val="0"/>
              <w:spacing w:line="240" w:lineRule="atLeast"/>
              <w:rPr>
                <w:rFonts w:cs="Arial"/>
                <w:b/>
                <w:color w:val="000000" w:themeColor="text1"/>
                <w:sz w:val="22"/>
                <w:szCs w:val="22"/>
                <w:lang w:val="en-US"/>
              </w:rPr>
            </w:pPr>
          </w:p>
          <w:p w14:paraId="43005D84" w14:textId="77777777" w:rsidR="005257BD" w:rsidRPr="00997B81" w:rsidRDefault="005257BD" w:rsidP="00DA2F46">
            <w:pPr>
              <w:autoSpaceDE w:val="0"/>
              <w:autoSpaceDN w:val="0"/>
              <w:adjustRightInd w:val="0"/>
              <w:spacing w:line="240" w:lineRule="atLeast"/>
              <w:rPr>
                <w:rFonts w:cs="Arial"/>
                <w:color w:val="000000" w:themeColor="text1"/>
                <w:sz w:val="22"/>
                <w:szCs w:val="22"/>
                <w:lang w:val="en-US"/>
              </w:rPr>
            </w:pPr>
            <w:r w:rsidRPr="00997B81">
              <w:rPr>
                <w:rFonts w:cs="Arial"/>
                <w:color w:val="000000" w:themeColor="text1"/>
                <w:sz w:val="22"/>
                <w:szCs w:val="22"/>
                <w:lang w:val="en-US"/>
              </w:rPr>
              <w:t>Drug misuse is a major source of harm in our local communities resulting in a range of harm including drug related crime and anti-social behavior, deliberate self-harm, suicide, and short and long-term damage to physical and mental health, harm to unborn babies, child neglect and early mortality, as well as increased risk taking in sexual behavior. Many accidental injuries and road traffic accidents are attributable to substance misuse, and it is linked to negative effects on the economy and incalculable misery for individuals and families.</w:t>
            </w:r>
          </w:p>
          <w:p w14:paraId="001075BC" w14:textId="77777777" w:rsidR="005257BD" w:rsidRPr="00997B81" w:rsidRDefault="005257BD" w:rsidP="00DA2F46">
            <w:pPr>
              <w:autoSpaceDE w:val="0"/>
              <w:autoSpaceDN w:val="0"/>
              <w:adjustRightInd w:val="0"/>
              <w:spacing w:line="240" w:lineRule="atLeast"/>
              <w:rPr>
                <w:rFonts w:cs="Arial"/>
                <w:color w:val="000000" w:themeColor="text1"/>
                <w:sz w:val="22"/>
                <w:szCs w:val="22"/>
                <w:lang w:val="en-US"/>
              </w:rPr>
            </w:pPr>
          </w:p>
          <w:p w14:paraId="12816C8A" w14:textId="77777777" w:rsidR="005257BD" w:rsidRPr="00997B81" w:rsidRDefault="005257BD" w:rsidP="00DA2F46">
            <w:pPr>
              <w:autoSpaceDE w:val="0"/>
              <w:autoSpaceDN w:val="0"/>
              <w:adjustRightInd w:val="0"/>
              <w:spacing w:line="240" w:lineRule="atLeast"/>
              <w:rPr>
                <w:rFonts w:cs="Arial"/>
                <w:color w:val="000000" w:themeColor="text1"/>
                <w:sz w:val="22"/>
                <w:szCs w:val="22"/>
                <w:lang w:val="en-US"/>
              </w:rPr>
            </w:pPr>
            <w:r w:rsidRPr="00997B81">
              <w:rPr>
                <w:rFonts w:cs="Arial"/>
                <w:color w:val="000000" w:themeColor="text1"/>
                <w:sz w:val="22"/>
                <w:szCs w:val="22"/>
                <w:lang w:val="en-US"/>
              </w:rPr>
              <w:t xml:space="preserve">The Governments </w:t>
            </w:r>
            <w:hyperlink r:id="rId5" w:history="1">
              <w:r w:rsidRPr="00997B81">
                <w:rPr>
                  <w:rStyle w:val="Hyperlink"/>
                  <w:rFonts w:eastAsia="MS ??" w:cs="Arial"/>
                  <w:sz w:val="22"/>
                  <w:szCs w:val="22"/>
                  <w:lang w:val="en-US"/>
                </w:rPr>
                <w:t>From Harm to Hope Drug Strategy</w:t>
              </w:r>
            </w:hyperlink>
            <w:r w:rsidRPr="00997B81">
              <w:rPr>
                <w:rFonts w:cs="Arial"/>
                <w:color w:val="000000" w:themeColor="text1"/>
                <w:sz w:val="22"/>
                <w:szCs w:val="22"/>
                <w:lang w:val="en-US"/>
              </w:rPr>
              <w:t xml:space="preserve"> (2021) sets out a ten year drugs plan to cut crime and save lives delivering a world class treatment and recovery services that aims to:</w:t>
            </w:r>
          </w:p>
          <w:p w14:paraId="0A2DA94D" w14:textId="77777777" w:rsidR="005257BD" w:rsidRPr="00997B81" w:rsidRDefault="005257BD" w:rsidP="005257BD">
            <w:pPr>
              <w:pStyle w:val="ListParagraph"/>
              <w:numPr>
                <w:ilvl w:val="0"/>
                <w:numId w:val="4"/>
              </w:numPr>
              <w:autoSpaceDE w:val="0"/>
              <w:autoSpaceDN w:val="0"/>
              <w:adjustRightInd w:val="0"/>
              <w:spacing w:line="240" w:lineRule="atLeast"/>
              <w:rPr>
                <w:rFonts w:cs="Arial"/>
                <w:color w:val="000000" w:themeColor="text1"/>
                <w:sz w:val="22"/>
                <w:szCs w:val="22"/>
                <w:lang w:val="en-US"/>
              </w:rPr>
            </w:pPr>
            <w:r w:rsidRPr="00997B81">
              <w:rPr>
                <w:rFonts w:cs="Arial"/>
                <w:color w:val="000000" w:themeColor="text1"/>
                <w:sz w:val="22"/>
                <w:szCs w:val="22"/>
                <w:lang w:val="en-US"/>
              </w:rPr>
              <w:t>Reduce overall drug use</w:t>
            </w:r>
          </w:p>
          <w:p w14:paraId="14C4B4D4" w14:textId="77777777" w:rsidR="005257BD" w:rsidRPr="00997B81" w:rsidRDefault="005257BD" w:rsidP="005257BD">
            <w:pPr>
              <w:pStyle w:val="ListParagraph"/>
              <w:numPr>
                <w:ilvl w:val="0"/>
                <w:numId w:val="4"/>
              </w:numPr>
              <w:autoSpaceDE w:val="0"/>
              <w:autoSpaceDN w:val="0"/>
              <w:adjustRightInd w:val="0"/>
              <w:spacing w:line="240" w:lineRule="atLeast"/>
              <w:rPr>
                <w:rFonts w:cs="Arial"/>
                <w:color w:val="000000" w:themeColor="text1"/>
                <w:sz w:val="22"/>
                <w:szCs w:val="22"/>
                <w:lang w:val="en-US"/>
              </w:rPr>
            </w:pPr>
            <w:r w:rsidRPr="00997B81">
              <w:rPr>
                <w:rFonts w:cs="Arial"/>
                <w:color w:val="000000" w:themeColor="text1"/>
                <w:sz w:val="22"/>
                <w:szCs w:val="22"/>
                <w:lang w:val="en-US"/>
              </w:rPr>
              <w:t>Reduce drug related crime</w:t>
            </w:r>
          </w:p>
          <w:p w14:paraId="5959DFBB" w14:textId="77777777" w:rsidR="005257BD" w:rsidRPr="00997B81" w:rsidRDefault="005257BD" w:rsidP="005257BD">
            <w:pPr>
              <w:pStyle w:val="ListParagraph"/>
              <w:numPr>
                <w:ilvl w:val="0"/>
                <w:numId w:val="4"/>
              </w:numPr>
              <w:autoSpaceDE w:val="0"/>
              <w:autoSpaceDN w:val="0"/>
              <w:adjustRightInd w:val="0"/>
              <w:spacing w:line="240" w:lineRule="atLeast"/>
              <w:rPr>
                <w:rFonts w:cs="Arial"/>
                <w:color w:val="000000" w:themeColor="text1"/>
                <w:sz w:val="22"/>
                <w:szCs w:val="22"/>
                <w:lang w:val="en-US"/>
              </w:rPr>
            </w:pPr>
            <w:r w:rsidRPr="00997B81">
              <w:rPr>
                <w:rFonts w:cs="Arial"/>
                <w:color w:val="000000" w:themeColor="text1"/>
                <w:sz w:val="22"/>
                <w:szCs w:val="22"/>
                <w:lang w:val="en-US"/>
              </w:rPr>
              <w:t>Reduce drug related deaths and harms</w:t>
            </w:r>
          </w:p>
          <w:p w14:paraId="67E8F1DA" w14:textId="77777777" w:rsidR="005257BD" w:rsidRPr="00997B81" w:rsidRDefault="005257BD" w:rsidP="005257BD">
            <w:pPr>
              <w:pStyle w:val="ListParagraph"/>
              <w:numPr>
                <w:ilvl w:val="0"/>
                <w:numId w:val="4"/>
              </w:numPr>
              <w:autoSpaceDE w:val="0"/>
              <w:autoSpaceDN w:val="0"/>
              <w:adjustRightInd w:val="0"/>
              <w:spacing w:line="240" w:lineRule="atLeast"/>
              <w:rPr>
                <w:rFonts w:cs="Arial"/>
                <w:color w:val="000000" w:themeColor="text1"/>
                <w:sz w:val="22"/>
                <w:szCs w:val="22"/>
                <w:lang w:val="en-US"/>
              </w:rPr>
            </w:pPr>
            <w:r w:rsidRPr="00997B81">
              <w:rPr>
                <w:rFonts w:cs="Arial"/>
                <w:color w:val="000000" w:themeColor="text1"/>
                <w:sz w:val="22"/>
                <w:szCs w:val="22"/>
                <w:lang w:val="en-US"/>
              </w:rPr>
              <w:t xml:space="preserve">Reduce the levels of drug supply </w:t>
            </w:r>
          </w:p>
          <w:p w14:paraId="6E93158E" w14:textId="77777777" w:rsidR="005257BD" w:rsidRPr="00997B81" w:rsidRDefault="005257BD" w:rsidP="005257BD">
            <w:pPr>
              <w:pStyle w:val="ListParagraph"/>
              <w:numPr>
                <w:ilvl w:val="0"/>
                <w:numId w:val="4"/>
              </w:numPr>
              <w:autoSpaceDE w:val="0"/>
              <w:autoSpaceDN w:val="0"/>
              <w:adjustRightInd w:val="0"/>
              <w:spacing w:line="240" w:lineRule="atLeast"/>
              <w:rPr>
                <w:rFonts w:cs="Arial"/>
                <w:color w:val="000000" w:themeColor="text1"/>
                <w:sz w:val="22"/>
                <w:szCs w:val="22"/>
                <w:lang w:val="en-US"/>
              </w:rPr>
            </w:pPr>
            <w:r w:rsidRPr="00997B81">
              <w:rPr>
                <w:rFonts w:cs="Arial"/>
                <w:color w:val="000000" w:themeColor="text1"/>
                <w:sz w:val="22"/>
                <w:szCs w:val="22"/>
                <w:lang w:val="en-US"/>
              </w:rPr>
              <w:t>Improve recovery outcomes</w:t>
            </w:r>
          </w:p>
          <w:p w14:paraId="1BAECEDE" w14:textId="77777777" w:rsidR="005257BD" w:rsidRPr="00997B81" w:rsidRDefault="005257BD" w:rsidP="005257BD">
            <w:pPr>
              <w:pStyle w:val="ListParagraph"/>
              <w:numPr>
                <w:ilvl w:val="0"/>
                <w:numId w:val="4"/>
              </w:numPr>
              <w:autoSpaceDE w:val="0"/>
              <w:autoSpaceDN w:val="0"/>
              <w:adjustRightInd w:val="0"/>
              <w:spacing w:line="240" w:lineRule="atLeast"/>
              <w:rPr>
                <w:rFonts w:cs="Arial"/>
                <w:color w:val="000000" w:themeColor="text1"/>
                <w:sz w:val="22"/>
                <w:szCs w:val="22"/>
                <w:lang w:val="en-US"/>
              </w:rPr>
            </w:pPr>
            <w:r w:rsidRPr="00997B81">
              <w:rPr>
                <w:rFonts w:cs="Arial"/>
                <w:color w:val="000000" w:themeColor="text1"/>
                <w:sz w:val="22"/>
                <w:szCs w:val="22"/>
                <w:lang w:val="en-US"/>
              </w:rPr>
              <w:t>Increase engagement in treatment</w:t>
            </w:r>
          </w:p>
          <w:p w14:paraId="1C42CBE1" w14:textId="77777777" w:rsidR="005257BD" w:rsidRPr="00997B81" w:rsidRDefault="005257BD" w:rsidP="00DA2F46">
            <w:pPr>
              <w:autoSpaceDE w:val="0"/>
              <w:autoSpaceDN w:val="0"/>
              <w:adjustRightInd w:val="0"/>
              <w:spacing w:line="240" w:lineRule="atLeast"/>
              <w:rPr>
                <w:rFonts w:cs="Arial"/>
                <w:color w:val="000000" w:themeColor="text1"/>
                <w:sz w:val="22"/>
                <w:szCs w:val="22"/>
                <w:lang w:val="en-US"/>
              </w:rPr>
            </w:pPr>
          </w:p>
          <w:p w14:paraId="4994372D" w14:textId="77777777" w:rsidR="005257BD" w:rsidRPr="00997B81" w:rsidRDefault="005257BD" w:rsidP="00DA2F46">
            <w:pPr>
              <w:autoSpaceDE w:val="0"/>
              <w:autoSpaceDN w:val="0"/>
              <w:adjustRightInd w:val="0"/>
              <w:spacing w:line="240" w:lineRule="atLeast"/>
              <w:rPr>
                <w:rFonts w:cs="Arial"/>
                <w:color w:val="000000" w:themeColor="text1"/>
                <w:sz w:val="22"/>
                <w:szCs w:val="22"/>
                <w:lang w:val="en-US"/>
              </w:rPr>
            </w:pPr>
            <w:r w:rsidRPr="00997B81">
              <w:rPr>
                <w:rFonts w:cs="Arial"/>
                <w:color w:val="000000" w:themeColor="text1"/>
                <w:sz w:val="22"/>
                <w:szCs w:val="22"/>
                <w:lang w:val="en-US"/>
              </w:rPr>
              <w:t xml:space="preserve">The government aim to boost the sectors health professional workforce and expand evidence-based treatments and interventions which include needle syringe </w:t>
            </w:r>
            <w:proofErr w:type="spellStart"/>
            <w:r w:rsidRPr="00997B81">
              <w:rPr>
                <w:rFonts w:cs="Arial"/>
                <w:color w:val="000000" w:themeColor="text1"/>
                <w:sz w:val="22"/>
                <w:szCs w:val="22"/>
                <w:lang w:val="en-US"/>
              </w:rPr>
              <w:t>programmes</w:t>
            </w:r>
            <w:proofErr w:type="spellEnd"/>
            <w:r w:rsidRPr="00997B81">
              <w:rPr>
                <w:rFonts w:cs="Arial"/>
                <w:color w:val="000000" w:themeColor="text1"/>
                <w:sz w:val="22"/>
                <w:szCs w:val="22"/>
                <w:lang w:val="en-US"/>
              </w:rPr>
              <w:t xml:space="preserve">. A local outcomes framework has been implemented by the Office for Health Improvement and Disparities to provide key information to monitor local performance and activity against the key objectives outlined within the National Drug Strategy. </w:t>
            </w:r>
          </w:p>
          <w:p w14:paraId="56159B47" w14:textId="77777777" w:rsidR="005257BD" w:rsidRPr="00997B81" w:rsidRDefault="005257BD" w:rsidP="00DA2F46">
            <w:pPr>
              <w:autoSpaceDE w:val="0"/>
              <w:autoSpaceDN w:val="0"/>
              <w:adjustRightInd w:val="0"/>
              <w:spacing w:line="240" w:lineRule="atLeast"/>
              <w:rPr>
                <w:rFonts w:cs="Arial"/>
                <w:color w:val="000000" w:themeColor="text1"/>
                <w:sz w:val="22"/>
                <w:szCs w:val="22"/>
                <w:lang w:val="en-US"/>
              </w:rPr>
            </w:pPr>
          </w:p>
          <w:p w14:paraId="15F2DC25" w14:textId="77777777" w:rsidR="005257BD" w:rsidRPr="00997B81" w:rsidRDefault="005257BD" w:rsidP="00DA2F46">
            <w:pPr>
              <w:autoSpaceDE w:val="0"/>
              <w:autoSpaceDN w:val="0"/>
              <w:adjustRightInd w:val="0"/>
              <w:spacing w:line="240" w:lineRule="atLeast"/>
              <w:rPr>
                <w:rFonts w:cs="Arial"/>
                <w:color w:val="000000" w:themeColor="text1"/>
                <w:sz w:val="22"/>
                <w:szCs w:val="22"/>
                <w:lang w:val="en-US"/>
              </w:rPr>
            </w:pPr>
            <w:r w:rsidRPr="00997B81">
              <w:rPr>
                <w:rFonts w:cs="Arial"/>
                <w:color w:val="000000" w:themeColor="text1"/>
                <w:sz w:val="22"/>
                <w:szCs w:val="22"/>
                <w:lang w:val="en-US"/>
              </w:rPr>
              <w:t>People who inject PWID who inject are vulnerable to a wide range of health harms increasing levels of morbidity and mortality including blood borne viral infections, bacterial infections and overdose. HIV, HBC and HCV are transmitted through sharing needles syringes and other injecting equipment.</w:t>
            </w:r>
          </w:p>
          <w:p w14:paraId="20F439C1" w14:textId="77777777" w:rsidR="005257BD" w:rsidRPr="00997B81" w:rsidRDefault="005257BD" w:rsidP="00DA2F46">
            <w:pPr>
              <w:autoSpaceDE w:val="0"/>
              <w:autoSpaceDN w:val="0"/>
              <w:adjustRightInd w:val="0"/>
              <w:spacing w:line="240" w:lineRule="atLeast"/>
              <w:rPr>
                <w:rFonts w:cs="Arial"/>
                <w:color w:val="000000" w:themeColor="text1"/>
                <w:sz w:val="22"/>
                <w:szCs w:val="22"/>
                <w:lang w:val="en-US"/>
              </w:rPr>
            </w:pPr>
          </w:p>
          <w:p w14:paraId="5458716F" w14:textId="77777777" w:rsidR="005257BD" w:rsidRPr="00997B81" w:rsidRDefault="005257BD" w:rsidP="00DA2F46">
            <w:pPr>
              <w:autoSpaceDE w:val="0"/>
              <w:autoSpaceDN w:val="0"/>
              <w:adjustRightInd w:val="0"/>
              <w:spacing w:line="240" w:lineRule="atLeast"/>
              <w:rPr>
                <w:rFonts w:cs="Arial"/>
                <w:color w:val="000000" w:themeColor="text1"/>
                <w:sz w:val="22"/>
                <w:szCs w:val="22"/>
                <w:lang w:val="en-US"/>
              </w:rPr>
            </w:pPr>
            <w:r w:rsidRPr="00997B81">
              <w:rPr>
                <w:rFonts w:cs="Arial"/>
                <w:color w:val="000000" w:themeColor="text1"/>
                <w:sz w:val="22"/>
                <w:szCs w:val="22"/>
                <w:lang w:val="en-US"/>
              </w:rPr>
              <w:t xml:space="preserve">NSP harm reduction provision was reduced during the COVID-19 pandemic. </w:t>
            </w:r>
            <w:r w:rsidRPr="00997B81">
              <w:rPr>
                <w:rFonts w:cs="Arial"/>
                <w:color w:val="0B0C0C"/>
                <w:sz w:val="22"/>
                <w:szCs w:val="22"/>
                <w:shd w:val="clear" w:color="auto" w:fill="FFFFFF"/>
              </w:rPr>
              <w:t>Data from the </w:t>
            </w:r>
            <w:r w:rsidRPr="00997B81">
              <w:rPr>
                <w:rFonts w:cs="Arial"/>
                <w:sz w:val="22"/>
                <w:szCs w:val="22"/>
              </w:rPr>
              <w:t>UAM</w:t>
            </w:r>
            <w:r w:rsidRPr="00997B81">
              <w:rPr>
                <w:rFonts w:cs="Arial"/>
                <w:color w:val="0B0C0C"/>
                <w:sz w:val="22"/>
                <w:szCs w:val="22"/>
                <w:shd w:val="clear" w:color="auto" w:fill="FFFFFF"/>
              </w:rPr>
              <w:t> Survey enhanced COVID-19 questionnaire indicate that access to harm reduction services across </w:t>
            </w:r>
            <w:r w:rsidRPr="00997B81">
              <w:rPr>
                <w:rFonts w:cs="Arial"/>
                <w:sz w:val="22"/>
                <w:szCs w:val="22"/>
              </w:rPr>
              <w:t>EWNI</w:t>
            </w:r>
            <w:r w:rsidRPr="00997B81">
              <w:rPr>
                <w:rFonts w:cs="Arial"/>
                <w:color w:val="0B0C0C"/>
                <w:sz w:val="22"/>
                <w:szCs w:val="22"/>
                <w:shd w:val="clear" w:color="auto" w:fill="FFFFFF"/>
              </w:rPr>
              <w:t> continued to be impacted by the COVID-19 pandemic in 2021, with 15% of participants reporting greater difficulties accessing equipment for the safer use and/or injection of drugs when compared to 2019.</w:t>
            </w:r>
          </w:p>
          <w:p w14:paraId="6004A4BC" w14:textId="77777777" w:rsidR="005257BD" w:rsidRPr="00997B81" w:rsidRDefault="005257BD" w:rsidP="00DA2F46">
            <w:pPr>
              <w:autoSpaceDE w:val="0"/>
              <w:autoSpaceDN w:val="0"/>
              <w:adjustRightInd w:val="0"/>
              <w:spacing w:line="240" w:lineRule="atLeast"/>
              <w:rPr>
                <w:rFonts w:cs="Arial"/>
                <w:color w:val="000000" w:themeColor="text1"/>
                <w:sz w:val="22"/>
                <w:szCs w:val="22"/>
                <w:lang w:val="en-US"/>
              </w:rPr>
            </w:pPr>
          </w:p>
          <w:p w14:paraId="2D30B257" w14:textId="77777777" w:rsidR="005257BD" w:rsidRPr="00997B81" w:rsidRDefault="005257BD" w:rsidP="00DA2F46">
            <w:pPr>
              <w:autoSpaceDE w:val="0"/>
              <w:autoSpaceDN w:val="0"/>
              <w:adjustRightInd w:val="0"/>
              <w:spacing w:line="240" w:lineRule="atLeast"/>
              <w:rPr>
                <w:rFonts w:cs="Arial"/>
                <w:color w:val="000000" w:themeColor="text1"/>
                <w:sz w:val="22"/>
                <w:szCs w:val="22"/>
                <w:lang w:val="en-US"/>
              </w:rPr>
            </w:pPr>
            <w:r w:rsidRPr="00997B81">
              <w:rPr>
                <w:rFonts w:cs="Arial"/>
                <w:color w:val="000000" w:themeColor="text1"/>
                <w:sz w:val="22"/>
                <w:szCs w:val="22"/>
                <w:lang w:val="en-US"/>
              </w:rPr>
              <w:t xml:space="preserve">The data below, taken from the recent ‘Shooting Up’ report highlights national figures relating to people who inject drugs (PWID). It is anticipated that a successful Needle and Syringe </w:t>
            </w:r>
            <w:proofErr w:type="spellStart"/>
            <w:r w:rsidRPr="00997B81">
              <w:rPr>
                <w:rFonts w:cs="Arial"/>
                <w:color w:val="000000" w:themeColor="text1"/>
                <w:sz w:val="22"/>
                <w:szCs w:val="22"/>
                <w:lang w:val="en-US"/>
              </w:rPr>
              <w:t>Programme</w:t>
            </w:r>
            <w:proofErr w:type="spellEnd"/>
            <w:r w:rsidRPr="00997B81">
              <w:rPr>
                <w:rFonts w:cs="Arial"/>
                <w:color w:val="000000" w:themeColor="text1"/>
                <w:sz w:val="22"/>
                <w:szCs w:val="22"/>
                <w:lang w:val="en-US"/>
              </w:rPr>
              <w:t xml:space="preserve"> will reduce the harm and reduce risky </w:t>
            </w:r>
            <w:proofErr w:type="spellStart"/>
            <w:r w:rsidRPr="00997B81">
              <w:rPr>
                <w:rFonts w:cs="Arial"/>
                <w:color w:val="000000" w:themeColor="text1"/>
                <w:sz w:val="22"/>
                <w:szCs w:val="22"/>
                <w:lang w:val="en-US"/>
              </w:rPr>
              <w:t>behaviours</w:t>
            </w:r>
            <w:proofErr w:type="spellEnd"/>
            <w:r w:rsidRPr="00997B81">
              <w:rPr>
                <w:rFonts w:cs="Arial"/>
                <w:color w:val="000000" w:themeColor="text1"/>
                <w:sz w:val="22"/>
                <w:szCs w:val="22"/>
                <w:lang w:val="en-US"/>
              </w:rPr>
              <w:t xml:space="preserve"> associated with PWID, particularly in the sharing of syringe equipment.  </w:t>
            </w:r>
          </w:p>
          <w:p w14:paraId="4036789D" w14:textId="77777777" w:rsidR="005257BD" w:rsidRPr="00997B81" w:rsidRDefault="005257BD" w:rsidP="00DA2F46">
            <w:pPr>
              <w:rPr>
                <w:rFonts w:cs="Arial"/>
                <w:bCs/>
                <w:sz w:val="22"/>
                <w:szCs w:val="22"/>
              </w:rPr>
            </w:pPr>
          </w:p>
          <w:tbl>
            <w:tblPr>
              <w:tblW w:w="4871" w:type="pct"/>
              <w:tblLayout w:type="fixed"/>
              <w:tblLook w:val="04A0" w:firstRow="1" w:lastRow="0" w:firstColumn="1" w:lastColumn="0" w:noHBand="0" w:noVBand="1"/>
            </w:tblPr>
            <w:tblGrid>
              <w:gridCol w:w="1096"/>
              <w:gridCol w:w="2601"/>
              <w:gridCol w:w="430"/>
              <w:gridCol w:w="722"/>
              <w:gridCol w:w="722"/>
              <w:gridCol w:w="722"/>
              <w:gridCol w:w="722"/>
              <w:gridCol w:w="722"/>
              <w:gridCol w:w="2257"/>
            </w:tblGrid>
            <w:tr w:rsidR="005257BD" w:rsidRPr="00997B81" w14:paraId="3FC3908A" w14:textId="77777777" w:rsidTr="00DA2F46">
              <w:trPr>
                <w:trHeight w:val="900"/>
              </w:trPr>
              <w:tc>
                <w:tcPr>
                  <w:tcW w:w="549" w:type="pct"/>
                  <w:tcBorders>
                    <w:top w:val="single" w:sz="4" w:space="0" w:color="000000"/>
                    <w:left w:val="single" w:sz="4" w:space="0" w:color="000000"/>
                    <w:bottom w:val="single" w:sz="4" w:space="0" w:color="000000"/>
                    <w:right w:val="single" w:sz="4" w:space="0" w:color="000000"/>
                  </w:tcBorders>
                  <w:shd w:val="clear" w:color="862633" w:fill="862633"/>
                  <w:noWrap/>
                  <w:vAlign w:val="center"/>
                  <w:hideMark/>
                </w:tcPr>
                <w:p w14:paraId="04BE040B" w14:textId="77777777" w:rsidR="005257BD" w:rsidRPr="00997B81" w:rsidRDefault="005257BD" w:rsidP="00DA2F46">
                  <w:pPr>
                    <w:framePr w:hSpace="180" w:wrap="around" w:vAnchor="text" w:hAnchor="margin" w:xAlign="center" w:y="95"/>
                    <w:jc w:val="center"/>
                    <w:rPr>
                      <w:rFonts w:cs="Arial"/>
                      <w:b/>
                      <w:bCs/>
                      <w:color w:val="FFFFFF"/>
                      <w:sz w:val="22"/>
                      <w:szCs w:val="22"/>
                      <w:lang w:eastAsia="en-GB"/>
                    </w:rPr>
                  </w:pPr>
                  <w:r w:rsidRPr="00997B81">
                    <w:rPr>
                      <w:rFonts w:cs="Arial"/>
                      <w:b/>
                      <w:bCs/>
                      <w:color w:val="FFFFFF"/>
                      <w:sz w:val="22"/>
                      <w:szCs w:val="22"/>
                      <w:lang w:eastAsia="en-GB"/>
                    </w:rPr>
                    <w:t>Area</w:t>
                  </w:r>
                </w:p>
              </w:tc>
              <w:tc>
                <w:tcPr>
                  <w:tcW w:w="1302" w:type="pct"/>
                  <w:tcBorders>
                    <w:top w:val="single" w:sz="4" w:space="0" w:color="000000"/>
                    <w:left w:val="nil"/>
                    <w:bottom w:val="nil"/>
                    <w:right w:val="single" w:sz="4" w:space="0" w:color="000000"/>
                  </w:tcBorders>
                  <w:shd w:val="clear" w:color="862633" w:fill="862633"/>
                  <w:vAlign w:val="center"/>
                  <w:hideMark/>
                </w:tcPr>
                <w:p w14:paraId="08ADC7C8" w14:textId="77777777" w:rsidR="005257BD" w:rsidRPr="00997B81" w:rsidRDefault="005257BD" w:rsidP="00DA2F46">
                  <w:pPr>
                    <w:framePr w:hSpace="180" w:wrap="around" w:vAnchor="text" w:hAnchor="margin" w:xAlign="center" w:y="95"/>
                    <w:jc w:val="center"/>
                    <w:rPr>
                      <w:rFonts w:cs="Arial"/>
                      <w:b/>
                      <w:bCs/>
                      <w:color w:val="FFFFFF"/>
                      <w:sz w:val="22"/>
                      <w:szCs w:val="22"/>
                      <w:lang w:eastAsia="en-GB"/>
                    </w:rPr>
                  </w:pPr>
                  <w:r w:rsidRPr="00997B81">
                    <w:rPr>
                      <w:rFonts w:cs="Arial"/>
                      <w:b/>
                      <w:bCs/>
                      <w:color w:val="FFFFFF"/>
                      <w:sz w:val="22"/>
                      <w:szCs w:val="22"/>
                      <w:lang w:eastAsia="en-GB"/>
                    </w:rPr>
                    <w:t>Category</w:t>
                  </w:r>
                </w:p>
              </w:tc>
              <w:tc>
                <w:tcPr>
                  <w:tcW w:w="215" w:type="pct"/>
                  <w:tcBorders>
                    <w:top w:val="single" w:sz="4" w:space="0" w:color="000000"/>
                    <w:left w:val="nil"/>
                    <w:bottom w:val="nil"/>
                    <w:right w:val="single" w:sz="4" w:space="0" w:color="000000"/>
                  </w:tcBorders>
                  <w:shd w:val="clear" w:color="862633" w:fill="862633"/>
                  <w:noWrap/>
                  <w:vAlign w:val="center"/>
                  <w:hideMark/>
                </w:tcPr>
                <w:p w14:paraId="0DD5F676" w14:textId="77777777" w:rsidR="005257BD" w:rsidRPr="00997B81" w:rsidRDefault="005257BD" w:rsidP="00DA2F46">
                  <w:pPr>
                    <w:framePr w:hSpace="180" w:wrap="around" w:vAnchor="text" w:hAnchor="margin" w:xAlign="center" w:y="95"/>
                    <w:jc w:val="center"/>
                    <w:rPr>
                      <w:rFonts w:cs="Arial"/>
                      <w:b/>
                      <w:bCs/>
                      <w:color w:val="FFFFFF"/>
                      <w:sz w:val="22"/>
                      <w:szCs w:val="22"/>
                      <w:lang w:eastAsia="en-GB"/>
                    </w:rPr>
                  </w:pPr>
                  <w:r w:rsidRPr="00997B81">
                    <w:rPr>
                      <w:rFonts w:cs="Arial"/>
                      <w:b/>
                      <w:bCs/>
                      <w:color w:val="FFFFFF"/>
                      <w:sz w:val="22"/>
                      <w:szCs w:val="22"/>
                      <w:lang w:eastAsia="en-GB"/>
                    </w:rPr>
                    <w:t> </w:t>
                  </w:r>
                </w:p>
              </w:tc>
              <w:tc>
                <w:tcPr>
                  <w:tcW w:w="361" w:type="pct"/>
                  <w:tcBorders>
                    <w:top w:val="single" w:sz="4" w:space="0" w:color="000000"/>
                    <w:left w:val="nil"/>
                    <w:bottom w:val="nil"/>
                    <w:right w:val="single" w:sz="4" w:space="0" w:color="000000"/>
                  </w:tcBorders>
                  <w:shd w:val="clear" w:color="862633" w:fill="862633"/>
                  <w:noWrap/>
                  <w:vAlign w:val="center"/>
                  <w:hideMark/>
                </w:tcPr>
                <w:p w14:paraId="645CC62F" w14:textId="77777777" w:rsidR="005257BD" w:rsidRPr="00997B81" w:rsidRDefault="005257BD" w:rsidP="00DA2F46">
                  <w:pPr>
                    <w:framePr w:hSpace="180" w:wrap="around" w:vAnchor="text" w:hAnchor="margin" w:xAlign="center" w:y="95"/>
                    <w:jc w:val="center"/>
                    <w:rPr>
                      <w:rFonts w:cs="Arial"/>
                      <w:b/>
                      <w:bCs/>
                      <w:color w:val="FFFFFF"/>
                      <w:sz w:val="22"/>
                      <w:szCs w:val="22"/>
                      <w:lang w:eastAsia="en-GB"/>
                    </w:rPr>
                  </w:pPr>
                  <w:r w:rsidRPr="00997B81">
                    <w:rPr>
                      <w:rFonts w:cs="Arial"/>
                      <w:b/>
                      <w:bCs/>
                      <w:color w:val="FFFFFF"/>
                      <w:sz w:val="22"/>
                      <w:szCs w:val="22"/>
                      <w:lang w:eastAsia="en-GB"/>
                    </w:rPr>
                    <w:t>2017</w:t>
                  </w:r>
                </w:p>
              </w:tc>
              <w:tc>
                <w:tcPr>
                  <w:tcW w:w="361" w:type="pct"/>
                  <w:tcBorders>
                    <w:top w:val="single" w:sz="4" w:space="0" w:color="000000"/>
                    <w:left w:val="nil"/>
                    <w:bottom w:val="nil"/>
                    <w:right w:val="single" w:sz="4" w:space="0" w:color="000000"/>
                  </w:tcBorders>
                  <w:shd w:val="clear" w:color="862633" w:fill="862633"/>
                  <w:noWrap/>
                  <w:vAlign w:val="center"/>
                  <w:hideMark/>
                </w:tcPr>
                <w:p w14:paraId="562BF78D" w14:textId="77777777" w:rsidR="005257BD" w:rsidRPr="00997B81" w:rsidRDefault="005257BD" w:rsidP="00DA2F46">
                  <w:pPr>
                    <w:framePr w:hSpace="180" w:wrap="around" w:vAnchor="text" w:hAnchor="margin" w:xAlign="center" w:y="95"/>
                    <w:jc w:val="center"/>
                    <w:rPr>
                      <w:rFonts w:cs="Arial"/>
                      <w:b/>
                      <w:bCs/>
                      <w:color w:val="FFFFFF"/>
                      <w:sz w:val="22"/>
                      <w:szCs w:val="22"/>
                      <w:lang w:eastAsia="en-GB"/>
                    </w:rPr>
                  </w:pPr>
                  <w:r w:rsidRPr="00997B81">
                    <w:rPr>
                      <w:rFonts w:cs="Arial"/>
                      <w:b/>
                      <w:bCs/>
                      <w:color w:val="FFFFFF"/>
                      <w:sz w:val="22"/>
                      <w:szCs w:val="22"/>
                      <w:lang w:eastAsia="en-GB"/>
                    </w:rPr>
                    <w:t>2018</w:t>
                  </w:r>
                </w:p>
              </w:tc>
              <w:tc>
                <w:tcPr>
                  <w:tcW w:w="361" w:type="pct"/>
                  <w:tcBorders>
                    <w:top w:val="single" w:sz="4" w:space="0" w:color="000000"/>
                    <w:left w:val="nil"/>
                    <w:bottom w:val="nil"/>
                    <w:right w:val="single" w:sz="4" w:space="0" w:color="000000"/>
                  </w:tcBorders>
                  <w:shd w:val="clear" w:color="862633" w:fill="862633"/>
                  <w:noWrap/>
                  <w:vAlign w:val="center"/>
                  <w:hideMark/>
                </w:tcPr>
                <w:p w14:paraId="6FC4CD70" w14:textId="77777777" w:rsidR="005257BD" w:rsidRPr="00997B81" w:rsidRDefault="005257BD" w:rsidP="00DA2F46">
                  <w:pPr>
                    <w:framePr w:hSpace="180" w:wrap="around" w:vAnchor="text" w:hAnchor="margin" w:xAlign="center" w:y="95"/>
                    <w:jc w:val="center"/>
                    <w:rPr>
                      <w:rFonts w:cs="Arial"/>
                      <w:b/>
                      <w:bCs/>
                      <w:color w:val="FFFFFF"/>
                      <w:sz w:val="22"/>
                      <w:szCs w:val="22"/>
                      <w:lang w:eastAsia="en-GB"/>
                    </w:rPr>
                  </w:pPr>
                  <w:r w:rsidRPr="00997B81">
                    <w:rPr>
                      <w:rFonts w:cs="Arial"/>
                      <w:b/>
                      <w:bCs/>
                      <w:color w:val="FFFFFF"/>
                      <w:sz w:val="22"/>
                      <w:szCs w:val="22"/>
                      <w:lang w:eastAsia="en-GB"/>
                    </w:rPr>
                    <w:t>2019</w:t>
                  </w:r>
                </w:p>
              </w:tc>
              <w:tc>
                <w:tcPr>
                  <w:tcW w:w="361" w:type="pct"/>
                  <w:tcBorders>
                    <w:top w:val="single" w:sz="4" w:space="0" w:color="000000"/>
                    <w:left w:val="nil"/>
                    <w:bottom w:val="nil"/>
                    <w:right w:val="single" w:sz="4" w:space="0" w:color="000000"/>
                  </w:tcBorders>
                  <w:shd w:val="clear" w:color="862633" w:fill="862633"/>
                  <w:noWrap/>
                  <w:vAlign w:val="center"/>
                  <w:hideMark/>
                </w:tcPr>
                <w:p w14:paraId="6C0A2D22" w14:textId="77777777" w:rsidR="005257BD" w:rsidRPr="00997B81" w:rsidRDefault="005257BD" w:rsidP="00DA2F46">
                  <w:pPr>
                    <w:framePr w:hSpace="180" w:wrap="around" w:vAnchor="text" w:hAnchor="margin" w:xAlign="center" w:y="95"/>
                    <w:jc w:val="center"/>
                    <w:rPr>
                      <w:rFonts w:cs="Arial"/>
                      <w:b/>
                      <w:bCs/>
                      <w:color w:val="FFFFFF"/>
                      <w:sz w:val="22"/>
                      <w:szCs w:val="22"/>
                      <w:lang w:eastAsia="en-GB"/>
                    </w:rPr>
                  </w:pPr>
                  <w:r w:rsidRPr="00997B81">
                    <w:rPr>
                      <w:rFonts w:cs="Arial"/>
                      <w:b/>
                      <w:bCs/>
                      <w:color w:val="FFFFFF"/>
                      <w:sz w:val="22"/>
                      <w:szCs w:val="22"/>
                      <w:lang w:eastAsia="en-GB"/>
                    </w:rPr>
                    <w:t>2020</w:t>
                  </w:r>
                </w:p>
              </w:tc>
              <w:tc>
                <w:tcPr>
                  <w:tcW w:w="361" w:type="pct"/>
                  <w:tcBorders>
                    <w:top w:val="single" w:sz="4" w:space="0" w:color="000000"/>
                    <w:left w:val="nil"/>
                    <w:bottom w:val="nil"/>
                    <w:right w:val="single" w:sz="4" w:space="0" w:color="000000"/>
                  </w:tcBorders>
                  <w:shd w:val="clear" w:color="862633" w:fill="862633"/>
                  <w:noWrap/>
                  <w:vAlign w:val="center"/>
                  <w:hideMark/>
                </w:tcPr>
                <w:p w14:paraId="5D725D79" w14:textId="77777777" w:rsidR="005257BD" w:rsidRPr="00997B81" w:rsidRDefault="005257BD" w:rsidP="00DA2F46">
                  <w:pPr>
                    <w:framePr w:hSpace="180" w:wrap="around" w:vAnchor="text" w:hAnchor="margin" w:xAlign="center" w:y="95"/>
                    <w:jc w:val="center"/>
                    <w:rPr>
                      <w:rFonts w:cs="Arial"/>
                      <w:b/>
                      <w:bCs/>
                      <w:color w:val="FFFFFF"/>
                      <w:sz w:val="22"/>
                      <w:szCs w:val="22"/>
                      <w:lang w:eastAsia="en-GB"/>
                    </w:rPr>
                  </w:pPr>
                  <w:r w:rsidRPr="00997B81">
                    <w:rPr>
                      <w:rFonts w:cs="Arial"/>
                      <w:b/>
                      <w:bCs/>
                      <w:color w:val="FFFFFF"/>
                      <w:sz w:val="22"/>
                      <w:szCs w:val="22"/>
                      <w:lang w:eastAsia="en-GB"/>
                    </w:rPr>
                    <w:t>2021</w:t>
                  </w:r>
                </w:p>
              </w:tc>
              <w:tc>
                <w:tcPr>
                  <w:tcW w:w="1131" w:type="pct"/>
                  <w:tcBorders>
                    <w:top w:val="single" w:sz="4" w:space="0" w:color="000000"/>
                    <w:left w:val="nil"/>
                    <w:bottom w:val="nil"/>
                    <w:right w:val="single" w:sz="4" w:space="0" w:color="000000"/>
                  </w:tcBorders>
                  <w:shd w:val="clear" w:color="862633" w:fill="862633"/>
                  <w:noWrap/>
                  <w:vAlign w:val="center"/>
                  <w:hideMark/>
                </w:tcPr>
                <w:p w14:paraId="0778C8FF" w14:textId="77777777" w:rsidR="005257BD" w:rsidRPr="00997B81" w:rsidRDefault="005257BD" w:rsidP="00DA2F46">
                  <w:pPr>
                    <w:framePr w:hSpace="180" w:wrap="around" w:vAnchor="text" w:hAnchor="margin" w:xAlign="center" w:y="95"/>
                    <w:jc w:val="center"/>
                    <w:rPr>
                      <w:rFonts w:cs="Arial"/>
                      <w:b/>
                      <w:bCs/>
                      <w:color w:val="FFFFFF"/>
                      <w:sz w:val="22"/>
                      <w:szCs w:val="22"/>
                      <w:lang w:eastAsia="en-GB"/>
                    </w:rPr>
                  </w:pPr>
                  <w:r w:rsidRPr="00997B81">
                    <w:rPr>
                      <w:rFonts w:cs="Arial"/>
                      <w:b/>
                      <w:bCs/>
                      <w:color w:val="FFFFFF"/>
                      <w:sz w:val="22"/>
                      <w:szCs w:val="22"/>
                      <w:lang w:eastAsia="en-GB"/>
                    </w:rPr>
                    <w:t>Further information</w:t>
                  </w:r>
                </w:p>
              </w:tc>
            </w:tr>
            <w:tr w:rsidR="005257BD" w:rsidRPr="00997B81" w14:paraId="65FF30A9" w14:textId="77777777" w:rsidTr="00DA2F46">
              <w:trPr>
                <w:trHeight w:val="690"/>
              </w:trPr>
              <w:tc>
                <w:tcPr>
                  <w:tcW w:w="5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8CD6EC" w14:textId="77777777" w:rsidR="005257BD" w:rsidRPr="00997B81" w:rsidRDefault="005257BD" w:rsidP="00DA2F46">
                  <w:pPr>
                    <w:framePr w:hSpace="180" w:wrap="around" w:vAnchor="text" w:hAnchor="margin" w:xAlign="center" w:y="95"/>
                    <w:jc w:val="center"/>
                    <w:rPr>
                      <w:rFonts w:cs="Arial"/>
                      <w:color w:val="000000"/>
                      <w:sz w:val="22"/>
                      <w:szCs w:val="22"/>
                      <w:lang w:eastAsia="en-GB"/>
                    </w:rPr>
                  </w:pPr>
                  <w:r w:rsidRPr="00997B81">
                    <w:rPr>
                      <w:rFonts w:cs="Arial"/>
                      <w:color w:val="000000"/>
                      <w:sz w:val="22"/>
                      <w:szCs w:val="22"/>
                      <w:lang w:eastAsia="en-GB"/>
                    </w:rPr>
                    <w:t>England</w:t>
                  </w:r>
                </w:p>
              </w:tc>
              <w:tc>
                <w:tcPr>
                  <w:tcW w:w="1302" w:type="pct"/>
                  <w:tcBorders>
                    <w:top w:val="nil"/>
                    <w:left w:val="nil"/>
                    <w:bottom w:val="single" w:sz="4" w:space="0" w:color="000000"/>
                    <w:right w:val="single" w:sz="4" w:space="0" w:color="000000"/>
                  </w:tcBorders>
                  <w:shd w:val="clear" w:color="auto" w:fill="auto"/>
                  <w:vAlign w:val="center"/>
                  <w:hideMark/>
                </w:tcPr>
                <w:p w14:paraId="521DFEF0" w14:textId="77777777" w:rsidR="005257BD" w:rsidRPr="00997B81" w:rsidRDefault="005257BD" w:rsidP="00DA2F46">
                  <w:pPr>
                    <w:framePr w:hSpace="180" w:wrap="around" w:vAnchor="text" w:hAnchor="margin" w:xAlign="center" w:y="95"/>
                    <w:jc w:val="center"/>
                    <w:rPr>
                      <w:rFonts w:cs="Arial"/>
                      <w:i/>
                      <w:iCs/>
                      <w:color w:val="000000"/>
                      <w:sz w:val="22"/>
                      <w:szCs w:val="22"/>
                      <w:lang w:eastAsia="en-GB"/>
                    </w:rPr>
                  </w:pPr>
                  <w:r w:rsidRPr="00997B81">
                    <w:rPr>
                      <w:rFonts w:cs="Arial"/>
                      <w:i/>
                      <w:iCs/>
                      <w:color w:val="000000"/>
                      <w:sz w:val="22"/>
                      <w:szCs w:val="22"/>
                      <w:lang w:eastAsia="en-GB"/>
                    </w:rPr>
                    <w:t xml:space="preserve">Indirect sharing self-reported by people initiating drug treatment </w:t>
                  </w:r>
                </w:p>
                <w:p w14:paraId="63CA29E8" w14:textId="77777777" w:rsidR="005257BD" w:rsidRPr="00997B81" w:rsidRDefault="005257BD" w:rsidP="00DA2F46">
                  <w:pPr>
                    <w:framePr w:hSpace="180" w:wrap="around" w:vAnchor="text" w:hAnchor="margin" w:xAlign="center" w:y="95"/>
                    <w:jc w:val="center"/>
                    <w:rPr>
                      <w:rFonts w:cs="Arial"/>
                      <w:i/>
                      <w:iCs/>
                      <w:color w:val="000000"/>
                      <w:sz w:val="22"/>
                      <w:szCs w:val="22"/>
                      <w:lang w:eastAsia="en-GB"/>
                    </w:rPr>
                  </w:pPr>
                </w:p>
              </w:tc>
              <w:tc>
                <w:tcPr>
                  <w:tcW w:w="215" w:type="pct"/>
                  <w:tcBorders>
                    <w:top w:val="nil"/>
                    <w:left w:val="nil"/>
                    <w:bottom w:val="single" w:sz="4" w:space="0" w:color="000000"/>
                    <w:right w:val="single" w:sz="4" w:space="0" w:color="000000"/>
                  </w:tcBorders>
                  <w:shd w:val="clear" w:color="auto" w:fill="auto"/>
                  <w:vAlign w:val="center"/>
                  <w:hideMark/>
                </w:tcPr>
                <w:p w14:paraId="5DB698A0" w14:textId="77777777" w:rsidR="005257BD" w:rsidRPr="00997B81" w:rsidRDefault="005257BD" w:rsidP="00DA2F46">
                  <w:pPr>
                    <w:framePr w:hSpace="180" w:wrap="around" w:vAnchor="text" w:hAnchor="margin" w:xAlign="center" w:y="95"/>
                    <w:jc w:val="center"/>
                    <w:rPr>
                      <w:rFonts w:cs="Arial"/>
                      <w:i/>
                      <w:iCs/>
                      <w:color w:val="000000"/>
                      <w:sz w:val="22"/>
                      <w:szCs w:val="22"/>
                      <w:lang w:eastAsia="en-GB"/>
                    </w:rPr>
                  </w:pPr>
                  <w:r w:rsidRPr="00997B81">
                    <w:rPr>
                      <w:rFonts w:cs="Arial"/>
                      <w:i/>
                      <w:iCs/>
                      <w:color w:val="000000"/>
                      <w:sz w:val="22"/>
                      <w:szCs w:val="22"/>
                      <w:lang w:eastAsia="en-GB"/>
                    </w:rPr>
                    <w:t>%</w:t>
                  </w:r>
                </w:p>
              </w:tc>
              <w:tc>
                <w:tcPr>
                  <w:tcW w:w="361" w:type="pct"/>
                  <w:tcBorders>
                    <w:top w:val="nil"/>
                    <w:left w:val="nil"/>
                    <w:bottom w:val="single" w:sz="4" w:space="0" w:color="000000"/>
                    <w:right w:val="single" w:sz="4" w:space="0" w:color="000000"/>
                  </w:tcBorders>
                  <w:shd w:val="clear" w:color="auto" w:fill="auto"/>
                  <w:vAlign w:val="center"/>
                  <w:hideMark/>
                </w:tcPr>
                <w:p w14:paraId="410A08D1" w14:textId="77777777" w:rsidR="005257BD" w:rsidRPr="00997B81" w:rsidRDefault="005257BD" w:rsidP="00DA2F46">
                  <w:pPr>
                    <w:framePr w:hSpace="180" w:wrap="around" w:vAnchor="text" w:hAnchor="margin" w:xAlign="center" w:y="95"/>
                    <w:jc w:val="center"/>
                    <w:rPr>
                      <w:rFonts w:cs="Arial"/>
                      <w:i/>
                      <w:iCs/>
                      <w:color w:val="000000"/>
                      <w:sz w:val="22"/>
                      <w:szCs w:val="22"/>
                      <w:lang w:eastAsia="en-GB"/>
                    </w:rPr>
                  </w:pPr>
                  <w:r w:rsidRPr="00997B81">
                    <w:rPr>
                      <w:rFonts w:cs="Arial"/>
                      <w:i/>
                      <w:iCs/>
                      <w:color w:val="000000"/>
                      <w:sz w:val="22"/>
                      <w:szCs w:val="22"/>
                      <w:lang w:eastAsia="en-GB"/>
                    </w:rPr>
                    <w:t>13</w:t>
                  </w:r>
                </w:p>
              </w:tc>
              <w:tc>
                <w:tcPr>
                  <w:tcW w:w="361" w:type="pct"/>
                  <w:tcBorders>
                    <w:top w:val="nil"/>
                    <w:left w:val="nil"/>
                    <w:bottom w:val="single" w:sz="4" w:space="0" w:color="000000"/>
                    <w:right w:val="single" w:sz="4" w:space="0" w:color="000000"/>
                  </w:tcBorders>
                  <w:shd w:val="clear" w:color="auto" w:fill="auto"/>
                  <w:vAlign w:val="center"/>
                  <w:hideMark/>
                </w:tcPr>
                <w:p w14:paraId="390119D6" w14:textId="77777777" w:rsidR="005257BD" w:rsidRPr="00997B81" w:rsidRDefault="005257BD" w:rsidP="00DA2F46">
                  <w:pPr>
                    <w:framePr w:hSpace="180" w:wrap="around" w:vAnchor="text" w:hAnchor="margin" w:xAlign="center" w:y="95"/>
                    <w:jc w:val="center"/>
                    <w:rPr>
                      <w:rFonts w:cs="Arial"/>
                      <w:i/>
                      <w:iCs/>
                      <w:color w:val="000000"/>
                      <w:sz w:val="22"/>
                      <w:szCs w:val="22"/>
                      <w:lang w:eastAsia="en-GB"/>
                    </w:rPr>
                  </w:pPr>
                  <w:r w:rsidRPr="00997B81">
                    <w:rPr>
                      <w:rFonts w:cs="Arial"/>
                      <w:i/>
                      <w:iCs/>
                      <w:color w:val="000000"/>
                      <w:sz w:val="22"/>
                      <w:szCs w:val="22"/>
                      <w:lang w:eastAsia="en-GB"/>
                    </w:rPr>
                    <w:t>13</w:t>
                  </w:r>
                </w:p>
              </w:tc>
              <w:tc>
                <w:tcPr>
                  <w:tcW w:w="361" w:type="pct"/>
                  <w:tcBorders>
                    <w:top w:val="nil"/>
                    <w:left w:val="nil"/>
                    <w:bottom w:val="single" w:sz="4" w:space="0" w:color="000000"/>
                    <w:right w:val="single" w:sz="4" w:space="0" w:color="000000"/>
                  </w:tcBorders>
                  <w:shd w:val="clear" w:color="auto" w:fill="auto"/>
                  <w:vAlign w:val="center"/>
                  <w:hideMark/>
                </w:tcPr>
                <w:p w14:paraId="7A48ED65" w14:textId="77777777" w:rsidR="005257BD" w:rsidRPr="00997B81" w:rsidRDefault="005257BD" w:rsidP="00DA2F46">
                  <w:pPr>
                    <w:framePr w:hSpace="180" w:wrap="around" w:vAnchor="text" w:hAnchor="margin" w:xAlign="center" w:y="95"/>
                    <w:jc w:val="center"/>
                    <w:rPr>
                      <w:rFonts w:cs="Arial"/>
                      <w:i/>
                      <w:iCs/>
                      <w:color w:val="000000"/>
                      <w:sz w:val="22"/>
                      <w:szCs w:val="22"/>
                      <w:lang w:eastAsia="en-GB"/>
                    </w:rPr>
                  </w:pPr>
                  <w:r w:rsidRPr="00997B81">
                    <w:rPr>
                      <w:rFonts w:cs="Arial"/>
                      <w:i/>
                      <w:iCs/>
                      <w:color w:val="000000"/>
                      <w:sz w:val="22"/>
                      <w:szCs w:val="22"/>
                      <w:lang w:eastAsia="en-GB"/>
                    </w:rPr>
                    <w:t>13</w:t>
                  </w:r>
                </w:p>
              </w:tc>
              <w:tc>
                <w:tcPr>
                  <w:tcW w:w="361" w:type="pct"/>
                  <w:tcBorders>
                    <w:top w:val="nil"/>
                    <w:left w:val="nil"/>
                    <w:bottom w:val="single" w:sz="4" w:space="0" w:color="000000"/>
                    <w:right w:val="single" w:sz="4" w:space="0" w:color="000000"/>
                  </w:tcBorders>
                  <w:shd w:val="clear" w:color="auto" w:fill="auto"/>
                  <w:vAlign w:val="center"/>
                  <w:hideMark/>
                </w:tcPr>
                <w:p w14:paraId="5AC846E8" w14:textId="77777777" w:rsidR="005257BD" w:rsidRPr="00997B81" w:rsidRDefault="005257BD" w:rsidP="00DA2F46">
                  <w:pPr>
                    <w:framePr w:hSpace="180" w:wrap="around" w:vAnchor="text" w:hAnchor="margin" w:xAlign="center" w:y="95"/>
                    <w:jc w:val="center"/>
                    <w:rPr>
                      <w:rFonts w:cs="Arial"/>
                      <w:i/>
                      <w:iCs/>
                      <w:color w:val="000000"/>
                      <w:sz w:val="22"/>
                      <w:szCs w:val="22"/>
                      <w:lang w:eastAsia="en-GB"/>
                    </w:rPr>
                  </w:pPr>
                  <w:r w:rsidRPr="00997B81">
                    <w:rPr>
                      <w:rFonts w:cs="Arial"/>
                      <w:i/>
                      <w:iCs/>
                      <w:color w:val="000000"/>
                      <w:sz w:val="22"/>
                      <w:szCs w:val="22"/>
                      <w:lang w:eastAsia="en-GB"/>
                    </w:rPr>
                    <w:t>13</w:t>
                  </w:r>
                </w:p>
              </w:tc>
              <w:tc>
                <w:tcPr>
                  <w:tcW w:w="361" w:type="pct"/>
                  <w:tcBorders>
                    <w:top w:val="nil"/>
                    <w:left w:val="nil"/>
                    <w:bottom w:val="single" w:sz="4" w:space="0" w:color="000000"/>
                    <w:right w:val="single" w:sz="4" w:space="0" w:color="000000"/>
                  </w:tcBorders>
                  <w:shd w:val="clear" w:color="auto" w:fill="auto"/>
                  <w:vAlign w:val="center"/>
                  <w:hideMark/>
                </w:tcPr>
                <w:p w14:paraId="50551F00" w14:textId="77777777" w:rsidR="005257BD" w:rsidRPr="00997B81" w:rsidRDefault="005257BD" w:rsidP="00DA2F46">
                  <w:pPr>
                    <w:framePr w:hSpace="180" w:wrap="around" w:vAnchor="text" w:hAnchor="margin" w:xAlign="center" w:y="95"/>
                    <w:jc w:val="center"/>
                    <w:rPr>
                      <w:rFonts w:cs="Arial"/>
                      <w:i/>
                      <w:iCs/>
                      <w:color w:val="000000"/>
                      <w:sz w:val="22"/>
                      <w:szCs w:val="22"/>
                      <w:lang w:eastAsia="en-GB"/>
                    </w:rPr>
                  </w:pPr>
                  <w:r w:rsidRPr="00997B81">
                    <w:rPr>
                      <w:rFonts w:cs="Arial"/>
                      <w:i/>
                      <w:iCs/>
                      <w:color w:val="000000"/>
                      <w:sz w:val="22"/>
                      <w:szCs w:val="22"/>
                      <w:lang w:eastAsia="en-GB"/>
                    </w:rPr>
                    <w:t>12</w:t>
                  </w:r>
                </w:p>
              </w:tc>
              <w:tc>
                <w:tcPr>
                  <w:tcW w:w="1131" w:type="pct"/>
                  <w:tcBorders>
                    <w:top w:val="nil"/>
                    <w:left w:val="nil"/>
                    <w:bottom w:val="single" w:sz="4" w:space="0" w:color="000000"/>
                    <w:right w:val="single" w:sz="4" w:space="0" w:color="000000"/>
                  </w:tcBorders>
                  <w:shd w:val="clear" w:color="auto" w:fill="auto"/>
                  <w:vAlign w:val="center"/>
                  <w:hideMark/>
                </w:tcPr>
                <w:p w14:paraId="6C933257" w14:textId="77777777" w:rsidR="005257BD" w:rsidRPr="00997B81" w:rsidRDefault="005257BD" w:rsidP="00DA2F46">
                  <w:pPr>
                    <w:framePr w:hSpace="180" w:wrap="around" w:vAnchor="text" w:hAnchor="margin" w:xAlign="center" w:y="95"/>
                    <w:jc w:val="center"/>
                    <w:rPr>
                      <w:rFonts w:cs="Arial"/>
                      <w:color w:val="0000FF"/>
                      <w:sz w:val="22"/>
                      <w:szCs w:val="22"/>
                      <w:u w:val="single"/>
                      <w:lang w:eastAsia="en-GB"/>
                    </w:rPr>
                  </w:pPr>
                  <w:hyperlink r:id="rId6" w:history="1">
                    <w:r w:rsidRPr="00997B81">
                      <w:rPr>
                        <w:rFonts w:cs="Arial"/>
                        <w:color w:val="000000"/>
                        <w:sz w:val="22"/>
                        <w:szCs w:val="22"/>
                        <w:lang w:eastAsia="en-GB"/>
                      </w:rPr>
                      <w:t>NDTMS</w:t>
                    </w:r>
                    <w:r w:rsidRPr="00997B81">
                      <w:rPr>
                        <w:rFonts w:cs="Arial"/>
                        <w:color w:val="0000FF"/>
                        <w:sz w:val="22"/>
                        <w:szCs w:val="22"/>
                        <w:u w:val="single"/>
                        <w:lang w:eastAsia="en-GB"/>
                      </w:rPr>
                      <w:br/>
                      <w:t>(further information here)</w:t>
                    </w:r>
                  </w:hyperlink>
                </w:p>
              </w:tc>
            </w:tr>
            <w:tr w:rsidR="005257BD" w:rsidRPr="00997B81" w14:paraId="27249D74" w14:textId="77777777" w:rsidTr="00DA2F46">
              <w:trPr>
                <w:trHeight w:val="563"/>
              </w:trPr>
              <w:tc>
                <w:tcPr>
                  <w:tcW w:w="54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FAA362" w14:textId="77777777" w:rsidR="005257BD" w:rsidRPr="00997B81" w:rsidRDefault="005257BD" w:rsidP="00DA2F46">
                  <w:pPr>
                    <w:framePr w:hSpace="180" w:wrap="around" w:vAnchor="text" w:hAnchor="margin" w:xAlign="center" w:y="95"/>
                    <w:jc w:val="center"/>
                    <w:rPr>
                      <w:rFonts w:cs="Arial"/>
                      <w:color w:val="000000"/>
                      <w:sz w:val="22"/>
                      <w:szCs w:val="22"/>
                      <w:lang w:eastAsia="en-GB"/>
                    </w:rPr>
                  </w:pPr>
                  <w:r w:rsidRPr="00997B81">
                    <w:rPr>
                      <w:rFonts w:cs="Arial"/>
                      <w:color w:val="000000"/>
                      <w:sz w:val="22"/>
                      <w:szCs w:val="22"/>
                      <w:lang w:eastAsia="en-GB"/>
                    </w:rPr>
                    <w:lastRenderedPageBreak/>
                    <w:t>England, Wales &amp; Northern Ireland</w:t>
                  </w:r>
                </w:p>
              </w:tc>
              <w:tc>
                <w:tcPr>
                  <w:tcW w:w="1302" w:type="pct"/>
                  <w:tcBorders>
                    <w:top w:val="nil"/>
                    <w:left w:val="nil"/>
                    <w:bottom w:val="single" w:sz="4" w:space="0" w:color="000000"/>
                    <w:right w:val="single" w:sz="4" w:space="0" w:color="000000"/>
                  </w:tcBorders>
                  <w:shd w:val="clear" w:color="auto" w:fill="auto"/>
                  <w:vAlign w:val="center"/>
                  <w:hideMark/>
                </w:tcPr>
                <w:p w14:paraId="6F5A8DDD" w14:textId="77777777" w:rsidR="005257BD" w:rsidRPr="00997B81" w:rsidRDefault="005257BD" w:rsidP="00DA2F46">
                  <w:pPr>
                    <w:framePr w:hSpace="180" w:wrap="around" w:vAnchor="text" w:hAnchor="margin" w:xAlign="center" w:y="95"/>
                    <w:jc w:val="center"/>
                    <w:rPr>
                      <w:rFonts w:cs="Arial"/>
                      <w:i/>
                      <w:iCs/>
                      <w:color w:val="000000"/>
                      <w:sz w:val="22"/>
                      <w:szCs w:val="22"/>
                      <w:lang w:eastAsia="en-GB"/>
                    </w:rPr>
                  </w:pPr>
                  <w:r w:rsidRPr="00997B81">
                    <w:rPr>
                      <w:rFonts w:cs="Arial"/>
                      <w:i/>
                      <w:iCs/>
                      <w:color w:val="000000"/>
                      <w:sz w:val="22"/>
                      <w:szCs w:val="22"/>
                      <w:lang w:eastAsia="en-GB"/>
                    </w:rPr>
                    <w:t>People who are currently injecting drugs</w:t>
                  </w:r>
                </w:p>
              </w:tc>
              <w:tc>
                <w:tcPr>
                  <w:tcW w:w="215" w:type="pct"/>
                  <w:tcBorders>
                    <w:top w:val="nil"/>
                    <w:left w:val="nil"/>
                    <w:bottom w:val="single" w:sz="4" w:space="0" w:color="000000"/>
                    <w:right w:val="single" w:sz="4" w:space="0" w:color="000000"/>
                  </w:tcBorders>
                  <w:shd w:val="clear" w:color="auto" w:fill="auto"/>
                  <w:vAlign w:val="center"/>
                  <w:hideMark/>
                </w:tcPr>
                <w:p w14:paraId="00013806" w14:textId="77777777" w:rsidR="005257BD" w:rsidRPr="00997B81" w:rsidRDefault="005257BD" w:rsidP="00DA2F46">
                  <w:pPr>
                    <w:framePr w:hSpace="180" w:wrap="around" w:vAnchor="text" w:hAnchor="margin" w:xAlign="center" w:y="95"/>
                    <w:jc w:val="center"/>
                    <w:rPr>
                      <w:rFonts w:cs="Arial"/>
                      <w:b/>
                      <w:bCs/>
                      <w:i/>
                      <w:iCs/>
                      <w:color w:val="000000"/>
                      <w:sz w:val="22"/>
                      <w:szCs w:val="22"/>
                      <w:lang w:eastAsia="en-GB"/>
                    </w:rPr>
                  </w:pPr>
                  <w:r w:rsidRPr="00997B81">
                    <w:rPr>
                      <w:rFonts w:cs="Arial"/>
                      <w:b/>
                      <w:bCs/>
                      <w:i/>
                      <w:iCs/>
                      <w:color w:val="000000"/>
                      <w:sz w:val="22"/>
                      <w:szCs w:val="22"/>
                      <w:lang w:eastAsia="en-GB"/>
                    </w:rPr>
                    <w:t>%</w:t>
                  </w:r>
                </w:p>
              </w:tc>
              <w:tc>
                <w:tcPr>
                  <w:tcW w:w="361" w:type="pct"/>
                  <w:tcBorders>
                    <w:top w:val="nil"/>
                    <w:left w:val="nil"/>
                    <w:bottom w:val="single" w:sz="4" w:space="0" w:color="000000"/>
                    <w:right w:val="single" w:sz="4" w:space="0" w:color="000000"/>
                  </w:tcBorders>
                  <w:shd w:val="clear" w:color="auto" w:fill="auto"/>
                  <w:noWrap/>
                  <w:vAlign w:val="center"/>
                  <w:hideMark/>
                </w:tcPr>
                <w:p w14:paraId="49CEDE79" w14:textId="77777777" w:rsidR="005257BD" w:rsidRPr="00997B81" w:rsidRDefault="005257BD" w:rsidP="00DA2F46">
                  <w:pPr>
                    <w:framePr w:hSpace="180" w:wrap="around" w:vAnchor="text" w:hAnchor="margin" w:xAlign="center" w:y="95"/>
                    <w:jc w:val="center"/>
                    <w:rPr>
                      <w:rFonts w:cs="Arial"/>
                      <w:i/>
                      <w:iCs/>
                      <w:color w:val="000000"/>
                      <w:sz w:val="22"/>
                      <w:szCs w:val="22"/>
                      <w:lang w:eastAsia="en-GB"/>
                    </w:rPr>
                  </w:pPr>
                  <w:r w:rsidRPr="00997B81">
                    <w:rPr>
                      <w:rFonts w:cs="Arial"/>
                      <w:i/>
                      <w:iCs/>
                      <w:color w:val="000000"/>
                      <w:sz w:val="22"/>
                      <w:szCs w:val="22"/>
                      <w:lang w:eastAsia="en-GB"/>
                    </w:rPr>
                    <w:t>17</w:t>
                  </w:r>
                </w:p>
              </w:tc>
              <w:tc>
                <w:tcPr>
                  <w:tcW w:w="361" w:type="pct"/>
                  <w:tcBorders>
                    <w:top w:val="nil"/>
                    <w:left w:val="nil"/>
                    <w:bottom w:val="single" w:sz="4" w:space="0" w:color="000000"/>
                    <w:right w:val="single" w:sz="4" w:space="0" w:color="000000"/>
                  </w:tcBorders>
                  <w:shd w:val="clear" w:color="auto" w:fill="auto"/>
                  <w:noWrap/>
                  <w:vAlign w:val="center"/>
                  <w:hideMark/>
                </w:tcPr>
                <w:p w14:paraId="2039ACD0" w14:textId="77777777" w:rsidR="005257BD" w:rsidRPr="00997B81" w:rsidRDefault="005257BD" w:rsidP="00DA2F46">
                  <w:pPr>
                    <w:framePr w:hSpace="180" w:wrap="around" w:vAnchor="text" w:hAnchor="margin" w:xAlign="center" w:y="95"/>
                    <w:jc w:val="center"/>
                    <w:rPr>
                      <w:rFonts w:cs="Arial"/>
                      <w:i/>
                      <w:iCs/>
                      <w:color w:val="000000"/>
                      <w:sz w:val="22"/>
                      <w:szCs w:val="22"/>
                      <w:lang w:eastAsia="en-GB"/>
                    </w:rPr>
                  </w:pPr>
                  <w:r w:rsidRPr="00997B81">
                    <w:rPr>
                      <w:rFonts w:cs="Arial"/>
                      <w:i/>
                      <w:iCs/>
                      <w:color w:val="000000"/>
                      <w:sz w:val="22"/>
                      <w:szCs w:val="22"/>
                      <w:lang w:eastAsia="en-GB"/>
                    </w:rPr>
                    <w:t>16</w:t>
                  </w:r>
                </w:p>
              </w:tc>
              <w:tc>
                <w:tcPr>
                  <w:tcW w:w="361" w:type="pct"/>
                  <w:tcBorders>
                    <w:top w:val="nil"/>
                    <w:left w:val="nil"/>
                    <w:bottom w:val="single" w:sz="4" w:space="0" w:color="000000"/>
                    <w:right w:val="single" w:sz="4" w:space="0" w:color="000000"/>
                  </w:tcBorders>
                  <w:shd w:val="clear" w:color="auto" w:fill="auto"/>
                  <w:noWrap/>
                  <w:vAlign w:val="center"/>
                  <w:hideMark/>
                </w:tcPr>
                <w:p w14:paraId="5FA77BA1" w14:textId="77777777" w:rsidR="005257BD" w:rsidRPr="00997B81" w:rsidRDefault="005257BD" w:rsidP="00DA2F46">
                  <w:pPr>
                    <w:framePr w:hSpace="180" w:wrap="around" w:vAnchor="text" w:hAnchor="margin" w:xAlign="center" w:y="95"/>
                    <w:jc w:val="center"/>
                    <w:rPr>
                      <w:rFonts w:cs="Arial"/>
                      <w:i/>
                      <w:iCs/>
                      <w:color w:val="000000"/>
                      <w:sz w:val="22"/>
                      <w:szCs w:val="22"/>
                      <w:lang w:eastAsia="en-GB"/>
                    </w:rPr>
                  </w:pPr>
                  <w:r w:rsidRPr="00997B81">
                    <w:rPr>
                      <w:rFonts w:cs="Arial"/>
                      <w:i/>
                      <w:iCs/>
                      <w:color w:val="000000"/>
                      <w:sz w:val="22"/>
                      <w:szCs w:val="22"/>
                      <w:lang w:eastAsia="en-GB"/>
                    </w:rPr>
                    <w:t>17</w:t>
                  </w:r>
                </w:p>
              </w:tc>
              <w:tc>
                <w:tcPr>
                  <w:tcW w:w="361" w:type="pct"/>
                  <w:tcBorders>
                    <w:top w:val="nil"/>
                    <w:left w:val="nil"/>
                    <w:bottom w:val="single" w:sz="4" w:space="0" w:color="000000"/>
                    <w:right w:val="single" w:sz="4" w:space="0" w:color="000000"/>
                  </w:tcBorders>
                  <w:shd w:val="clear" w:color="auto" w:fill="auto"/>
                  <w:noWrap/>
                  <w:vAlign w:val="center"/>
                  <w:hideMark/>
                </w:tcPr>
                <w:p w14:paraId="373EC80C" w14:textId="77777777" w:rsidR="005257BD" w:rsidRPr="00997B81" w:rsidRDefault="005257BD" w:rsidP="00DA2F46">
                  <w:pPr>
                    <w:framePr w:hSpace="180" w:wrap="around" w:vAnchor="text" w:hAnchor="margin" w:xAlign="center" w:y="95"/>
                    <w:jc w:val="center"/>
                    <w:rPr>
                      <w:rFonts w:cs="Arial"/>
                      <w:i/>
                      <w:iCs/>
                      <w:color w:val="000000"/>
                      <w:sz w:val="22"/>
                      <w:szCs w:val="22"/>
                      <w:lang w:eastAsia="en-GB"/>
                    </w:rPr>
                  </w:pPr>
                  <w:r w:rsidRPr="00997B81">
                    <w:rPr>
                      <w:rFonts w:cs="Arial"/>
                      <w:i/>
                      <w:iCs/>
                      <w:color w:val="000000"/>
                      <w:sz w:val="22"/>
                      <w:szCs w:val="22"/>
                      <w:lang w:eastAsia="en-GB"/>
                    </w:rPr>
                    <w:t>18</w:t>
                  </w:r>
                </w:p>
              </w:tc>
              <w:tc>
                <w:tcPr>
                  <w:tcW w:w="361" w:type="pct"/>
                  <w:tcBorders>
                    <w:top w:val="nil"/>
                    <w:left w:val="nil"/>
                    <w:bottom w:val="single" w:sz="4" w:space="0" w:color="000000"/>
                    <w:right w:val="single" w:sz="4" w:space="0" w:color="000000"/>
                  </w:tcBorders>
                  <w:shd w:val="clear" w:color="auto" w:fill="auto"/>
                  <w:noWrap/>
                  <w:vAlign w:val="center"/>
                  <w:hideMark/>
                </w:tcPr>
                <w:p w14:paraId="7E8D5829" w14:textId="77777777" w:rsidR="005257BD" w:rsidRPr="00997B81" w:rsidRDefault="005257BD" w:rsidP="00DA2F46">
                  <w:pPr>
                    <w:framePr w:hSpace="180" w:wrap="around" w:vAnchor="text" w:hAnchor="margin" w:xAlign="center" w:y="95"/>
                    <w:jc w:val="center"/>
                    <w:rPr>
                      <w:rFonts w:cs="Arial"/>
                      <w:i/>
                      <w:iCs/>
                      <w:color w:val="000000"/>
                      <w:sz w:val="22"/>
                      <w:szCs w:val="22"/>
                      <w:lang w:eastAsia="en-GB"/>
                    </w:rPr>
                  </w:pPr>
                  <w:r w:rsidRPr="00997B81">
                    <w:rPr>
                      <w:rFonts w:cs="Arial"/>
                      <w:i/>
                      <w:iCs/>
                      <w:color w:val="000000"/>
                      <w:sz w:val="22"/>
                      <w:szCs w:val="22"/>
                      <w:lang w:eastAsia="en-GB"/>
                    </w:rPr>
                    <w:t>18</w:t>
                  </w:r>
                </w:p>
              </w:tc>
              <w:tc>
                <w:tcPr>
                  <w:tcW w:w="1131"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0F7C1B01" w14:textId="77777777" w:rsidR="005257BD" w:rsidRPr="00997B81" w:rsidRDefault="005257BD" w:rsidP="00DA2F46">
                  <w:pPr>
                    <w:framePr w:hSpace="180" w:wrap="around" w:vAnchor="text" w:hAnchor="margin" w:xAlign="center" w:y="95"/>
                    <w:jc w:val="center"/>
                    <w:rPr>
                      <w:rFonts w:cs="Arial"/>
                      <w:color w:val="0000FF"/>
                      <w:sz w:val="22"/>
                      <w:szCs w:val="22"/>
                      <w:u w:val="single"/>
                      <w:lang w:eastAsia="en-GB"/>
                    </w:rPr>
                  </w:pPr>
                  <w:hyperlink r:id="rId7" w:history="1">
                    <w:r w:rsidRPr="00997B81">
                      <w:rPr>
                        <w:rFonts w:cs="Arial"/>
                        <w:color w:val="000000"/>
                        <w:sz w:val="22"/>
                        <w:szCs w:val="22"/>
                        <w:lang w:eastAsia="en-GB"/>
                      </w:rPr>
                      <w:t>UAM Survey of PWID</w:t>
                    </w:r>
                    <w:r w:rsidRPr="00997B81">
                      <w:rPr>
                        <w:rFonts w:cs="Arial"/>
                        <w:color w:val="0000FF"/>
                        <w:sz w:val="22"/>
                        <w:szCs w:val="22"/>
                        <w:u w:val="single"/>
                        <w:lang w:eastAsia="en-GB"/>
                      </w:rPr>
                      <w:br/>
                    </w:r>
                    <w:r w:rsidRPr="00997B81">
                      <w:rPr>
                        <w:rFonts w:cs="Arial"/>
                        <w:color w:val="000000"/>
                        <w:sz w:val="22"/>
                        <w:szCs w:val="22"/>
                        <w:lang w:eastAsia="en-GB"/>
                      </w:rPr>
                      <w:t xml:space="preserve"> </w:t>
                    </w:r>
                    <w:r w:rsidRPr="00997B81">
                      <w:rPr>
                        <w:rFonts w:cs="Arial"/>
                        <w:color w:val="0000FF"/>
                        <w:sz w:val="22"/>
                        <w:szCs w:val="22"/>
                        <w:u w:val="single"/>
                        <w:lang w:eastAsia="en-GB"/>
                      </w:rPr>
                      <w:t>(further information here)</w:t>
                    </w:r>
                  </w:hyperlink>
                </w:p>
              </w:tc>
            </w:tr>
            <w:tr w:rsidR="005257BD" w:rsidRPr="00997B81" w14:paraId="611BC716" w14:textId="77777777" w:rsidTr="00DA2F46">
              <w:trPr>
                <w:trHeight w:val="563"/>
              </w:trPr>
              <w:tc>
                <w:tcPr>
                  <w:tcW w:w="549" w:type="pct"/>
                  <w:vMerge/>
                  <w:tcBorders>
                    <w:top w:val="single" w:sz="4" w:space="0" w:color="000000"/>
                    <w:left w:val="single" w:sz="4" w:space="0" w:color="000000"/>
                    <w:bottom w:val="single" w:sz="4" w:space="0" w:color="000000"/>
                    <w:right w:val="single" w:sz="4" w:space="0" w:color="000000"/>
                  </w:tcBorders>
                  <w:vAlign w:val="center"/>
                  <w:hideMark/>
                </w:tcPr>
                <w:p w14:paraId="42B9256F" w14:textId="77777777" w:rsidR="005257BD" w:rsidRPr="00997B81" w:rsidRDefault="005257BD" w:rsidP="00DA2F46">
                  <w:pPr>
                    <w:framePr w:hSpace="180" w:wrap="around" w:vAnchor="text" w:hAnchor="margin" w:xAlign="center" w:y="95"/>
                    <w:rPr>
                      <w:rFonts w:cs="Arial"/>
                      <w:color w:val="000000"/>
                      <w:sz w:val="22"/>
                      <w:szCs w:val="22"/>
                      <w:lang w:eastAsia="en-GB"/>
                    </w:rPr>
                  </w:pPr>
                </w:p>
              </w:tc>
              <w:tc>
                <w:tcPr>
                  <w:tcW w:w="1302" w:type="pct"/>
                  <w:tcBorders>
                    <w:top w:val="nil"/>
                    <w:left w:val="nil"/>
                    <w:bottom w:val="single" w:sz="4" w:space="0" w:color="000000"/>
                    <w:right w:val="single" w:sz="4" w:space="0" w:color="000000"/>
                  </w:tcBorders>
                  <w:shd w:val="clear" w:color="auto" w:fill="auto"/>
                  <w:vAlign w:val="center"/>
                  <w:hideMark/>
                </w:tcPr>
                <w:p w14:paraId="53DDF94D" w14:textId="77777777" w:rsidR="005257BD" w:rsidRPr="00997B81" w:rsidRDefault="005257BD" w:rsidP="00DA2F46">
                  <w:pPr>
                    <w:framePr w:hSpace="180" w:wrap="around" w:vAnchor="text" w:hAnchor="margin" w:xAlign="center" w:y="95"/>
                    <w:jc w:val="center"/>
                    <w:rPr>
                      <w:rFonts w:cs="Arial"/>
                      <w:i/>
                      <w:iCs/>
                      <w:color w:val="000000"/>
                      <w:sz w:val="22"/>
                      <w:szCs w:val="22"/>
                      <w:lang w:eastAsia="en-GB"/>
                    </w:rPr>
                  </w:pPr>
                  <w:r w:rsidRPr="00997B81">
                    <w:rPr>
                      <w:rFonts w:cs="Arial"/>
                      <w:i/>
                      <w:iCs/>
                      <w:color w:val="000000"/>
                      <w:sz w:val="22"/>
                      <w:szCs w:val="22"/>
                      <w:lang w:eastAsia="en-GB"/>
                    </w:rPr>
                    <w:t>People who are currently injecting drugs aged under 25 years</w:t>
                  </w:r>
                </w:p>
              </w:tc>
              <w:tc>
                <w:tcPr>
                  <w:tcW w:w="215" w:type="pct"/>
                  <w:tcBorders>
                    <w:top w:val="nil"/>
                    <w:left w:val="nil"/>
                    <w:bottom w:val="single" w:sz="4" w:space="0" w:color="000000"/>
                    <w:right w:val="single" w:sz="4" w:space="0" w:color="000000"/>
                  </w:tcBorders>
                  <w:shd w:val="clear" w:color="auto" w:fill="auto"/>
                  <w:vAlign w:val="center"/>
                  <w:hideMark/>
                </w:tcPr>
                <w:p w14:paraId="05B1E0FC" w14:textId="77777777" w:rsidR="005257BD" w:rsidRPr="00997B81" w:rsidRDefault="005257BD" w:rsidP="00DA2F46">
                  <w:pPr>
                    <w:framePr w:hSpace="180" w:wrap="around" w:vAnchor="text" w:hAnchor="margin" w:xAlign="center" w:y="95"/>
                    <w:jc w:val="center"/>
                    <w:rPr>
                      <w:rFonts w:cs="Arial"/>
                      <w:b/>
                      <w:bCs/>
                      <w:i/>
                      <w:iCs/>
                      <w:color w:val="000000"/>
                      <w:sz w:val="22"/>
                      <w:szCs w:val="22"/>
                      <w:lang w:eastAsia="en-GB"/>
                    </w:rPr>
                  </w:pPr>
                  <w:r w:rsidRPr="00997B81">
                    <w:rPr>
                      <w:rFonts w:cs="Arial"/>
                      <w:b/>
                      <w:bCs/>
                      <w:i/>
                      <w:iCs/>
                      <w:color w:val="000000"/>
                      <w:sz w:val="22"/>
                      <w:szCs w:val="22"/>
                      <w:lang w:eastAsia="en-GB"/>
                    </w:rPr>
                    <w:t>%</w:t>
                  </w:r>
                </w:p>
              </w:tc>
              <w:tc>
                <w:tcPr>
                  <w:tcW w:w="361" w:type="pct"/>
                  <w:tcBorders>
                    <w:top w:val="nil"/>
                    <w:left w:val="nil"/>
                    <w:bottom w:val="single" w:sz="4" w:space="0" w:color="000000"/>
                    <w:right w:val="single" w:sz="4" w:space="0" w:color="000000"/>
                  </w:tcBorders>
                  <w:shd w:val="clear" w:color="auto" w:fill="auto"/>
                  <w:noWrap/>
                  <w:vAlign w:val="center"/>
                  <w:hideMark/>
                </w:tcPr>
                <w:p w14:paraId="1410C724" w14:textId="77777777" w:rsidR="005257BD" w:rsidRPr="00997B81" w:rsidRDefault="005257BD" w:rsidP="00DA2F46">
                  <w:pPr>
                    <w:framePr w:hSpace="180" w:wrap="around" w:vAnchor="text" w:hAnchor="margin" w:xAlign="center" w:y="95"/>
                    <w:jc w:val="center"/>
                    <w:rPr>
                      <w:rFonts w:cs="Arial"/>
                      <w:i/>
                      <w:iCs/>
                      <w:color w:val="000000"/>
                      <w:sz w:val="22"/>
                      <w:szCs w:val="22"/>
                      <w:lang w:eastAsia="en-GB"/>
                    </w:rPr>
                  </w:pPr>
                  <w:r w:rsidRPr="00997B81">
                    <w:rPr>
                      <w:rFonts w:cs="Arial"/>
                      <w:i/>
                      <w:iCs/>
                      <w:color w:val="000000"/>
                      <w:sz w:val="22"/>
                      <w:szCs w:val="22"/>
                      <w:lang w:eastAsia="en-GB"/>
                    </w:rPr>
                    <w:t>20</w:t>
                  </w:r>
                </w:p>
              </w:tc>
              <w:tc>
                <w:tcPr>
                  <w:tcW w:w="361" w:type="pct"/>
                  <w:tcBorders>
                    <w:top w:val="nil"/>
                    <w:left w:val="nil"/>
                    <w:bottom w:val="single" w:sz="4" w:space="0" w:color="000000"/>
                    <w:right w:val="single" w:sz="4" w:space="0" w:color="000000"/>
                  </w:tcBorders>
                  <w:shd w:val="clear" w:color="auto" w:fill="auto"/>
                  <w:noWrap/>
                  <w:vAlign w:val="center"/>
                  <w:hideMark/>
                </w:tcPr>
                <w:p w14:paraId="62B46E44" w14:textId="77777777" w:rsidR="005257BD" w:rsidRPr="00997B81" w:rsidRDefault="005257BD" w:rsidP="00DA2F46">
                  <w:pPr>
                    <w:framePr w:hSpace="180" w:wrap="around" w:vAnchor="text" w:hAnchor="margin" w:xAlign="center" w:y="95"/>
                    <w:jc w:val="center"/>
                    <w:rPr>
                      <w:rFonts w:cs="Arial"/>
                      <w:i/>
                      <w:iCs/>
                      <w:color w:val="000000"/>
                      <w:sz w:val="22"/>
                      <w:szCs w:val="22"/>
                      <w:lang w:eastAsia="en-GB"/>
                    </w:rPr>
                  </w:pPr>
                  <w:r w:rsidRPr="00997B81">
                    <w:rPr>
                      <w:rFonts w:cs="Arial"/>
                      <w:i/>
                      <w:iCs/>
                      <w:color w:val="000000"/>
                      <w:sz w:val="22"/>
                      <w:szCs w:val="22"/>
                      <w:lang w:eastAsia="en-GB"/>
                    </w:rPr>
                    <w:t>25</w:t>
                  </w:r>
                </w:p>
              </w:tc>
              <w:tc>
                <w:tcPr>
                  <w:tcW w:w="361" w:type="pct"/>
                  <w:tcBorders>
                    <w:top w:val="nil"/>
                    <w:left w:val="nil"/>
                    <w:bottom w:val="single" w:sz="4" w:space="0" w:color="000000"/>
                    <w:right w:val="single" w:sz="4" w:space="0" w:color="000000"/>
                  </w:tcBorders>
                  <w:shd w:val="clear" w:color="auto" w:fill="auto"/>
                  <w:noWrap/>
                  <w:vAlign w:val="center"/>
                  <w:hideMark/>
                </w:tcPr>
                <w:p w14:paraId="3EF71DC4" w14:textId="77777777" w:rsidR="005257BD" w:rsidRPr="00997B81" w:rsidRDefault="005257BD" w:rsidP="00DA2F46">
                  <w:pPr>
                    <w:framePr w:hSpace="180" w:wrap="around" w:vAnchor="text" w:hAnchor="margin" w:xAlign="center" w:y="95"/>
                    <w:jc w:val="center"/>
                    <w:rPr>
                      <w:rFonts w:cs="Arial"/>
                      <w:i/>
                      <w:iCs/>
                      <w:color w:val="000000"/>
                      <w:sz w:val="22"/>
                      <w:szCs w:val="22"/>
                      <w:lang w:eastAsia="en-GB"/>
                    </w:rPr>
                  </w:pPr>
                  <w:r w:rsidRPr="00997B81">
                    <w:rPr>
                      <w:rFonts w:cs="Arial"/>
                      <w:i/>
                      <w:iCs/>
                      <w:color w:val="000000"/>
                      <w:sz w:val="22"/>
                      <w:szCs w:val="22"/>
                      <w:lang w:eastAsia="en-GB"/>
                    </w:rPr>
                    <w:t>20</w:t>
                  </w:r>
                </w:p>
              </w:tc>
              <w:tc>
                <w:tcPr>
                  <w:tcW w:w="361" w:type="pct"/>
                  <w:tcBorders>
                    <w:top w:val="nil"/>
                    <w:left w:val="nil"/>
                    <w:bottom w:val="single" w:sz="4" w:space="0" w:color="000000"/>
                    <w:right w:val="single" w:sz="4" w:space="0" w:color="000000"/>
                  </w:tcBorders>
                  <w:shd w:val="clear" w:color="auto" w:fill="auto"/>
                  <w:noWrap/>
                  <w:vAlign w:val="center"/>
                  <w:hideMark/>
                </w:tcPr>
                <w:p w14:paraId="293DB3BC" w14:textId="77777777" w:rsidR="005257BD" w:rsidRPr="00997B81" w:rsidRDefault="005257BD" w:rsidP="00DA2F46">
                  <w:pPr>
                    <w:framePr w:hSpace="180" w:wrap="around" w:vAnchor="text" w:hAnchor="margin" w:xAlign="center" w:y="95"/>
                    <w:jc w:val="center"/>
                    <w:rPr>
                      <w:rFonts w:cs="Arial"/>
                      <w:i/>
                      <w:iCs/>
                      <w:color w:val="000000"/>
                      <w:sz w:val="22"/>
                      <w:szCs w:val="22"/>
                      <w:lang w:eastAsia="en-GB"/>
                    </w:rPr>
                  </w:pPr>
                  <w:r w:rsidRPr="00997B81">
                    <w:rPr>
                      <w:rFonts w:cs="Arial"/>
                      <w:i/>
                      <w:iCs/>
                      <w:color w:val="000000"/>
                      <w:sz w:val="22"/>
                      <w:szCs w:val="22"/>
                      <w:lang w:eastAsia="en-GB"/>
                    </w:rPr>
                    <w:t>23</w:t>
                  </w:r>
                </w:p>
              </w:tc>
              <w:tc>
                <w:tcPr>
                  <w:tcW w:w="361" w:type="pct"/>
                  <w:tcBorders>
                    <w:top w:val="nil"/>
                    <w:left w:val="nil"/>
                    <w:bottom w:val="single" w:sz="4" w:space="0" w:color="000000"/>
                    <w:right w:val="single" w:sz="4" w:space="0" w:color="000000"/>
                  </w:tcBorders>
                  <w:shd w:val="clear" w:color="auto" w:fill="auto"/>
                  <w:noWrap/>
                  <w:vAlign w:val="center"/>
                  <w:hideMark/>
                </w:tcPr>
                <w:p w14:paraId="3F24EA5F" w14:textId="77777777" w:rsidR="005257BD" w:rsidRPr="00997B81" w:rsidRDefault="005257BD" w:rsidP="00DA2F46">
                  <w:pPr>
                    <w:framePr w:hSpace="180" w:wrap="around" w:vAnchor="text" w:hAnchor="margin" w:xAlign="center" w:y="95"/>
                    <w:jc w:val="center"/>
                    <w:rPr>
                      <w:rFonts w:cs="Arial"/>
                      <w:i/>
                      <w:iCs/>
                      <w:color w:val="000000"/>
                      <w:sz w:val="22"/>
                      <w:szCs w:val="22"/>
                      <w:lang w:eastAsia="en-GB"/>
                    </w:rPr>
                  </w:pPr>
                  <w:r w:rsidRPr="00997B81">
                    <w:rPr>
                      <w:rFonts w:cs="Arial"/>
                      <w:i/>
                      <w:iCs/>
                      <w:color w:val="000000"/>
                      <w:sz w:val="22"/>
                      <w:szCs w:val="22"/>
                      <w:lang w:eastAsia="en-GB"/>
                    </w:rPr>
                    <w:t>17</w:t>
                  </w:r>
                </w:p>
              </w:tc>
              <w:tc>
                <w:tcPr>
                  <w:tcW w:w="1131" w:type="pct"/>
                  <w:vMerge/>
                  <w:tcBorders>
                    <w:top w:val="nil"/>
                    <w:left w:val="single" w:sz="4" w:space="0" w:color="000000"/>
                    <w:bottom w:val="single" w:sz="4" w:space="0" w:color="000000"/>
                    <w:right w:val="single" w:sz="4" w:space="0" w:color="000000"/>
                  </w:tcBorders>
                  <w:vAlign w:val="center"/>
                  <w:hideMark/>
                </w:tcPr>
                <w:p w14:paraId="06400566" w14:textId="77777777" w:rsidR="005257BD" w:rsidRPr="00997B81" w:rsidRDefault="005257BD" w:rsidP="00DA2F46">
                  <w:pPr>
                    <w:framePr w:hSpace="180" w:wrap="around" w:vAnchor="text" w:hAnchor="margin" w:xAlign="center" w:y="95"/>
                    <w:rPr>
                      <w:rFonts w:cs="Arial"/>
                      <w:color w:val="0000FF"/>
                      <w:sz w:val="22"/>
                      <w:szCs w:val="22"/>
                      <w:u w:val="single"/>
                      <w:lang w:eastAsia="en-GB"/>
                    </w:rPr>
                  </w:pPr>
                </w:p>
              </w:tc>
            </w:tr>
            <w:tr w:rsidR="005257BD" w:rsidRPr="00997B81" w14:paraId="44853882" w14:textId="77777777" w:rsidTr="00DA2F46">
              <w:trPr>
                <w:trHeight w:val="563"/>
              </w:trPr>
              <w:tc>
                <w:tcPr>
                  <w:tcW w:w="549" w:type="pct"/>
                  <w:vMerge/>
                  <w:tcBorders>
                    <w:top w:val="single" w:sz="4" w:space="0" w:color="000000"/>
                    <w:left w:val="single" w:sz="4" w:space="0" w:color="000000"/>
                    <w:bottom w:val="single" w:sz="4" w:space="0" w:color="000000"/>
                    <w:right w:val="single" w:sz="4" w:space="0" w:color="000000"/>
                  </w:tcBorders>
                  <w:vAlign w:val="center"/>
                  <w:hideMark/>
                </w:tcPr>
                <w:p w14:paraId="01B17734" w14:textId="77777777" w:rsidR="005257BD" w:rsidRPr="00997B81" w:rsidRDefault="005257BD" w:rsidP="00DA2F46">
                  <w:pPr>
                    <w:framePr w:hSpace="180" w:wrap="around" w:vAnchor="text" w:hAnchor="margin" w:xAlign="center" w:y="95"/>
                    <w:rPr>
                      <w:rFonts w:cs="Arial"/>
                      <w:color w:val="000000"/>
                      <w:sz w:val="22"/>
                      <w:szCs w:val="22"/>
                      <w:lang w:eastAsia="en-GB"/>
                    </w:rPr>
                  </w:pPr>
                </w:p>
              </w:tc>
              <w:tc>
                <w:tcPr>
                  <w:tcW w:w="1302" w:type="pct"/>
                  <w:tcBorders>
                    <w:top w:val="nil"/>
                    <w:left w:val="nil"/>
                    <w:bottom w:val="single" w:sz="4" w:space="0" w:color="000000"/>
                    <w:right w:val="single" w:sz="4" w:space="0" w:color="000000"/>
                  </w:tcBorders>
                  <w:shd w:val="clear" w:color="auto" w:fill="auto"/>
                  <w:vAlign w:val="center"/>
                  <w:hideMark/>
                </w:tcPr>
                <w:p w14:paraId="1036C210" w14:textId="77777777" w:rsidR="005257BD" w:rsidRPr="00997B81" w:rsidRDefault="005257BD" w:rsidP="00DA2F46">
                  <w:pPr>
                    <w:framePr w:hSpace="180" w:wrap="around" w:vAnchor="text" w:hAnchor="margin" w:xAlign="center" w:y="95"/>
                    <w:jc w:val="center"/>
                    <w:rPr>
                      <w:rFonts w:cs="Arial"/>
                      <w:i/>
                      <w:iCs/>
                      <w:color w:val="000000"/>
                      <w:sz w:val="22"/>
                      <w:szCs w:val="22"/>
                      <w:lang w:eastAsia="en-GB"/>
                    </w:rPr>
                  </w:pPr>
                  <w:r w:rsidRPr="00997B81">
                    <w:rPr>
                      <w:rFonts w:cs="Arial"/>
                      <w:i/>
                      <w:iCs/>
                      <w:color w:val="000000"/>
                      <w:sz w:val="22"/>
                      <w:szCs w:val="22"/>
                      <w:lang w:eastAsia="en-GB"/>
                    </w:rPr>
                    <w:t>People who are currently injecting drugs and who first injected during the preceding 3 years</w:t>
                  </w:r>
                </w:p>
              </w:tc>
              <w:tc>
                <w:tcPr>
                  <w:tcW w:w="215" w:type="pct"/>
                  <w:tcBorders>
                    <w:top w:val="nil"/>
                    <w:left w:val="nil"/>
                    <w:bottom w:val="single" w:sz="4" w:space="0" w:color="000000"/>
                    <w:right w:val="single" w:sz="4" w:space="0" w:color="000000"/>
                  </w:tcBorders>
                  <w:shd w:val="clear" w:color="auto" w:fill="auto"/>
                  <w:vAlign w:val="center"/>
                  <w:hideMark/>
                </w:tcPr>
                <w:p w14:paraId="1FBF8DD3" w14:textId="77777777" w:rsidR="005257BD" w:rsidRPr="00997B81" w:rsidRDefault="005257BD" w:rsidP="00DA2F46">
                  <w:pPr>
                    <w:framePr w:hSpace="180" w:wrap="around" w:vAnchor="text" w:hAnchor="margin" w:xAlign="center" w:y="95"/>
                    <w:jc w:val="center"/>
                    <w:rPr>
                      <w:rFonts w:cs="Arial"/>
                      <w:b/>
                      <w:bCs/>
                      <w:i/>
                      <w:iCs/>
                      <w:color w:val="000000"/>
                      <w:sz w:val="22"/>
                      <w:szCs w:val="22"/>
                      <w:lang w:eastAsia="en-GB"/>
                    </w:rPr>
                  </w:pPr>
                  <w:r w:rsidRPr="00997B81">
                    <w:rPr>
                      <w:rFonts w:cs="Arial"/>
                      <w:b/>
                      <w:bCs/>
                      <w:i/>
                      <w:iCs/>
                      <w:color w:val="000000"/>
                      <w:sz w:val="22"/>
                      <w:szCs w:val="22"/>
                      <w:lang w:eastAsia="en-GB"/>
                    </w:rPr>
                    <w:t>%</w:t>
                  </w:r>
                </w:p>
              </w:tc>
              <w:tc>
                <w:tcPr>
                  <w:tcW w:w="361" w:type="pct"/>
                  <w:tcBorders>
                    <w:top w:val="nil"/>
                    <w:left w:val="nil"/>
                    <w:bottom w:val="single" w:sz="4" w:space="0" w:color="000000"/>
                    <w:right w:val="single" w:sz="4" w:space="0" w:color="000000"/>
                  </w:tcBorders>
                  <w:shd w:val="clear" w:color="auto" w:fill="auto"/>
                  <w:noWrap/>
                  <w:vAlign w:val="center"/>
                  <w:hideMark/>
                </w:tcPr>
                <w:p w14:paraId="12B09000" w14:textId="77777777" w:rsidR="005257BD" w:rsidRPr="00997B81" w:rsidRDefault="005257BD" w:rsidP="00DA2F46">
                  <w:pPr>
                    <w:framePr w:hSpace="180" w:wrap="around" w:vAnchor="text" w:hAnchor="margin" w:xAlign="center" w:y="95"/>
                    <w:jc w:val="center"/>
                    <w:rPr>
                      <w:rFonts w:cs="Arial"/>
                      <w:i/>
                      <w:iCs/>
                      <w:color w:val="000000"/>
                      <w:sz w:val="22"/>
                      <w:szCs w:val="22"/>
                      <w:lang w:eastAsia="en-GB"/>
                    </w:rPr>
                  </w:pPr>
                  <w:r w:rsidRPr="00997B81">
                    <w:rPr>
                      <w:rFonts w:cs="Arial"/>
                      <w:i/>
                      <w:iCs/>
                      <w:color w:val="000000"/>
                      <w:sz w:val="22"/>
                      <w:szCs w:val="22"/>
                      <w:lang w:eastAsia="en-GB"/>
                    </w:rPr>
                    <w:t>20</w:t>
                  </w:r>
                </w:p>
              </w:tc>
              <w:tc>
                <w:tcPr>
                  <w:tcW w:w="361" w:type="pct"/>
                  <w:tcBorders>
                    <w:top w:val="nil"/>
                    <w:left w:val="nil"/>
                    <w:bottom w:val="single" w:sz="4" w:space="0" w:color="000000"/>
                    <w:right w:val="single" w:sz="4" w:space="0" w:color="000000"/>
                  </w:tcBorders>
                  <w:shd w:val="clear" w:color="auto" w:fill="auto"/>
                  <w:noWrap/>
                  <w:vAlign w:val="center"/>
                  <w:hideMark/>
                </w:tcPr>
                <w:p w14:paraId="1A911A42" w14:textId="77777777" w:rsidR="005257BD" w:rsidRPr="00997B81" w:rsidRDefault="005257BD" w:rsidP="00DA2F46">
                  <w:pPr>
                    <w:framePr w:hSpace="180" w:wrap="around" w:vAnchor="text" w:hAnchor="margin" w:xAlign="center" w:y="95"/>
                    <w:jc w:val="center"/>
                    <w:rPr>
                      <w:rFonts w:cs="Arial"/>
                      <w:i/>
                      <w:iCs/>
                      <w:color w:val="000000"/>
                      <w:sz w:val="22"/>
                      <w:szCs w:val="22"/>
                      <w:lang w:eastAsia="en-GB"/>
                    </w:rPr>
                  </w:pPr>
                  <w:r w:rsidRPr="00997B81">
                    <w:rPr>
                      <w:rFonts w:cs="Arial"/>
                      <w:i/>
                      <w:iCs/>
                      <w:color w:val="000000"/>
                      <w:sz w:val="22"/>
                      <w:szCs w:val="22"/>
                      <w:lang w:eastAsia="en-GB"/>
                    </w:rPr>
                    <w:t>21</w:t>
                  </w:r>
                </w:p>
              </w:tc>
              <w:tc>
                <w:tcPr>
                  <w:tcW w:w="361" w:type="pct"/>
                  <w:tcBorders>
                    <w:top w:val="nil"/>
                    <w:left w:val="nil"/>
                    <w:bottom w:val="single" w:sz="4" w:space="0" w:color="000000"/>
                    <w:right w:val="single" w:sz="4" w:space="0" w:color="000000"/>
                  </w:tcBorders>
                  <w:shd w:val="clear" w:color="auto" w:fill="auto"/>
                  <w:noWrap/>
                  <w:vAlign w:val="center"/>
                  <w:hideMark/>
                </w:tcPr>
                <w:p w14:paraId="4BA909AD" w14:textId="77777777" w:rsidR="005257BD" w:rsidRPr="00997B81" w:rsidRDefault="005257BD" w:rsidP="00DA2F46">
                  <w:pPr>
                    <w:framePr w:hSpace="180" w:wrap="around" w:vAnchor="text" w:hAnchor="margin" w:xAlign="center" w:y="95"/>
                    <w:jc w:val="center"/>
                    <w:rPr>
                      <w:rFonts w:cs="Arial"/>
                      <w:i/>
                      <w:iCs/>
                      <w:color w:val="000000"/>
                      <w:sz w:val="22"/>
                      <w:szCs w:val="22"/>
                      <w:lang w:eastAsia="en-GB"/>
                    </w:rPr>
                  </w:pPr>
                  <w:r w:rsidRPr="00997B81">
                    <w:rPr>
                      <w:rFonts w:cs="Arial"/>
                      <w:i/>
                      <w:iCs/>
                      <w:color w:val="000000"/>
                      <w:sz w:val="22"/>
                      <w:szCs w:val="22"/>
                      <w:lang w:eastAsia="en-GB"/>
                    </w:rPr>
                    <w:t>18</w:t>
                  </w:r>
                </w:p>
              </w:tc>
              <w:tc>
                <w:tcPr>
                  <w:tcW w:w="361" w:type="pct"/>
                  <w:tcBorders>
                    <w:top w:val="nil"/>
                    <w:left w:val="nil"/>
                    <w:bottom w:val="single" w:sz="4" w:space="0" w:color="000000"/>
                    <w:right w:val="single" w:sz="4" w:space="0" w:color="000000"/>
                  </w:tcBorders>
                  <w:shd w:val="clear" w:color="auto" w:fill="auto"/>
                  <w:noWrap/>
                  <w:vAlign w:val="center"/>
                  <w:hideMark/>
                </w:tcPr>
                <w:p w14:paraId="2EE5186D" w14:textId="77777777" w:rsidR="005257BD" w:rsidRPr="00997B81" w:rsidRDefault="005257BD" w:rsidP="00DA2F46">
                  <w:pPr>
                    <w:framePr w:hSpace="180" w:wrap="around" w:vAnchor="text" w:hAnchor="margin" w:xAlign="center" w:y="95"/>
                    <w:jc w:val="center"/>
                    <w:rPr>
                      <w:rFonts w:cs="Arial"/>
                      <w:i/>
                      <w:iCs/>
                      <w:color w:val="000000"/>
                      <w:sz w:val="22"/>
                      <w:szCs w:val="22"/>
                      <w:lang w:eastAsia="en-GB"/>
                    </w:rPr>
                  </w:pPr>
                  <w:r w:rsidRPr="00997B81">
                    <w:rPr>
                      <w:rFonts w:cs="Arial"/>
                      <w:i/>
                      <w:iCs/>
                      <w:color w:val="000000"/>
                      <w:sz w:val="22"/>
                      <w:szCs w:val="22"/>
                      <w:lang w:eastAsia="en-GB"/>
                    </w:rPr>
                    <w:t>18</w:t>
                  </w:r>
                </w:p>
              </w:tc>
              <w:tc>
                <w:tcPr>
                  <w:tcW w:w="361" w:type="pct"/>
                  <w:tcBorders>
                    <w:top w:val="nil"/>
                    <w:left w:val="nil"/>
                    <w:bottom w:val="single" w:sz="4" w:space="0" w:color="000000"/>
                    <w:right w:val="single" w:sz="4" w:space="0" w:color="000000"/>
                  </w:tcBorders>
                  <w:shd w:val="clear" w:color="auto" w:fill="auto"/>
                  <w:noWrap/>
                  <w:vAlign w:val="center"/>
                  <w:hideMark/>
                </w:tcPr>
                <w:p w14:paraId="25E6DAA0" w14:textId="77777777" w:rsidR="005257BD" w:rsidRPr="00997B81" w:rsidRDefault="005257BD" w:rsidP="00DA2F46">
                  <w:pPr>
                    <w:framePr w:hSpace="180" w:wrap="around" w:vAnchor="text" w:hAnchor="margin" w:xAlign="center" w:y="95"/>
                    <w:jc w:val="center"/>
                    <w:rPr>
                      <w:rFonts w:cs="Arial"/>
                      <w:i/>
                      <w:iCs/>
                      <w:color w:val="000000"/>
                      <w:sz w:val="22"/>
                      <w:szCs w:val="22"/>
                      <w:lang w:eastAsia="en-GB"/>
                    </w:rPr>
                  </w:pPr>
                  <w:r w:rsidRPr="00997B81">
                    <w:rPr>
                      <w:rFonts w:cs="Arial"/>
                      <w:i/>
                      <w:iCs/>
                      <w:color w:val="000000"/>
                      <w:sz w:val="22"/>
                      <w:szCs w:val="22"/>
                      <w:lang w:eastAsia="en-GB"/>
                    </w:rPr>
                    <w:t>14</w:t>
                  </w:r>
                </w:p>
              </w:tc>
              <w:tc>
                <w:tcPr>
                  <w:tcW w:w="1131" w:type="pct"/>
                  <w:vMerge/>
                  <w:tcBorders>
                    <w:top w:val="nil"/>
                    <w:left w:val="single" w:sz="4" w:space="0" w:color="000000"/>
                    <w:bottom w:val="single" w:sz="4" w:space="0" w:color="000000"/>
                    <w:right w:val="single" w:sz="4" w:space="0" w:color="000000"/>
                  </w:tcBorders>
                  <w:vAlign w:val="center"/>
                  <w:hideMark/>
                </w:tcPr>
                <w:p w14:paraId="245DFB7A" w14:textId="77777777" w:rsidR="005257BD" w:rsidRPr="00997B81" w:rsidRDefault="005257BD" w:rsidP="00DA2F46">
                  <w:pPr>
                    <w:framePr w:hSpace="180" w:wrap="around" w:vAnchor="text" w:hAnchor="margin" w:xAlign="center" w:y="95"/>
                    <w:rPr>
                      <w:rFonts w:cs="Arial"/>
                      <w:color w:val="0000FF"/>
                      <w:sz w:val="22"/>
                      <w:szCs w:val="22"/>
                      <w:u w:val="single"/>
                      <w:lang w:eastAsia="en-GB"/>
                    </w:rPr>
                  </w:pPr>
                </w:p>
              </w:tc>
            </w:tr>
            <w:tr w:rsidR="005257BD" w:rsidRPr="00997B81" w14:paraId="21B61CA2" w14:textId="77777777" w:rsidTr="00DA2F46">
              <w:trPr>
                <w:trHeight w:val="458"/>
              </w:trPr>
              <w:tc>
                <w:tcPr>
                  <w:tcW w:w="54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D5AE1D" w14:textId="77777777" w:rsidR="005257BD" w:rsidRPr="00997B81" w:rsidRDefault="005257BD" w:rsidP="00DA2F46">
                  <w:pPr>
                    <w:framePr w:hSpace="180" w:wrap="around" w:vAnchor="text" w:hAnchor="margin" w:xAlign="center" w:y="95"/>
                    <w:jc w:val="center"/>
                    <w:rPr>
                      <w:rFonts w:cs="Arial"/>
                      <w:color w:val="000000"/>
                      <w:sz w:val="22"/>
                      <w:szCs w:val="22"/>
                      <w:lang w:eastAsia="en-GB"/>
                    </w:rPr>
                  </w:pPr>
                  <w:r w:rsidRPr="00997B81">
                    <w:rPr>
                      <w:rFonts w:cs="Arial"/>
                      <w:color w:val="000000"/>
                      <w:sz w:val="22"/>
                      <w:szCs w:val="22"/>
                      <w:lang w:eastAsia="en-GB"/>
                    </w:rPr>
                    <w:t>England, Wales &amp; Northern Ireland</w:t>
                  </w:r>
                </w:p>
              </w:tc>
              <w:tc>
                <w:tcPr>
                  <w:tcW w:w="1302"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3185750A" w14:textId="77777777" w:rsidR="005257BD" w:rsidRPr="00997B81" w:rsidRDefault="005257BD" w:rsidP="00DA2F46">
                  <w:pPr>
                    <w:framePr w:hSpace="180" w:wrap="around" w:vAnchor="text" w:hAnchor="margin" w:xAlign="center" w:y="95"/>
                    <w:jc w:val="center"/>
                    <w:rPr>
                      <w:rFonts w:cs="Arial"/>
                      <w:i/>
                      <w:iCs/>
                      <w:color w:val="000000"/>
                      <w:sz w:val="22"/>
                      <w:szCs w:val="22"/>
                      <w:lang w:eastAsia="en-GB"/>
                    </w:rPr>
                  </w:pPr>
                  <w:r w:rsidRPr="00997B81">
                    <w:rPr>
                      <w:rFonts w:cs="Arial"/>
                      <w:i/>
                      <w:iCs/>
                      <w:color w:val="000000"/>
                      <w:sz w:val="22"/>
                      <w:szCs w:val="22"/>
                      <w:lang w:eastAsia="en-GB"/>
                    </w:rPr>
                    <w:t>People who are currently injecting drugs</w:t>
                  </w:r>
                </w:p>
              </w:tc>
              <w:tc>
                <w:tcPr>
                  <w:tcW w:w="215"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67E7C6B0" w14:textId="77777777" w:rsidR="005257BD" w:rsidRPr="00997B81" w:rsidRDefault="005257BD" w:rsidP="00DA2F46">
                  <w:pPr>
                    <w:framePr w:hSpace="180" w:wrap="around" w:vAnchor="text" w:hAnchor="margin" w:xAlign="center" w:y="95"/>
                    <w:jc w:val="center"/>
                    <w:rPr>
                      <w:rFonts w:cs="Arial"/>
                      <w:b/>
                      <w:bCs/>
                      <w:i/>
                      <w:iCs/>
                      <w:color w:val="000000"/>
                      <w:sz w:val="22"/>
                      <w:szCs w:val="22"/>
                      <w:lang w:eastAsia="en-GB"/>
                    </w:rPr>
                  </w:pPr>
                  <w:r w:rsidRPr="00997B81">
                    <w:rPr>
                      <w:rFonts w:cs="Arial"/>
                      <w:b/>
                      <w:bCs/>
                      <w:i/>
                      <w:iCs/>
                      <w:color w:val="000000"/>
                      <w:sz w:val="22"/>
                      <w:szCs w:val="22"/>
                      <w:lang w:eastAsia="en-GB"/>
                    </w:rPr>
                    <w:t>%</w:t>
                  </w:r>
                </w:p>
              </w:tc>
              <w:tc>
                <w:tcPr>
                  <w:tcW w:w="361"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14:paraId="41BE47C5" w14:textId="77777777" w:rsidR="005257BD" w:rsidRPr="00997B81" w:rsidRDefault="005257BD" w:rsidP="00DA2F46">
                  <w:pPr>
                    <w:framePr w:hSpace="180" w:wrap="around" w:vAnchor="text" w:hAnchor="margin" w:xAlign="center" w:y="95"/>
                    <w:jc w:val="center"/>
                    <w:rPr>
                      <w:rFonts w:cs="Arial"/>
                      <w:i/>
                      <w:iCs/>
                      <w:color w:val="000000"/>
                      <w:sz w:val="22"/>
                      <w:szCs w:val="22"/>
                      <w:lang w:eastAsia="en-GB"/>
                    </w:rPr>
                  </w:pPr>
                  <w:r w:rsidRPr="00997B81">
                    <w:rPr>
                      <w:rFonts w:cs="Arial"/>
                      <w:i/>
                      <w:iCs/>
                      <w:color w:val="000000"/>
                      <w:sz w:val="22"/>
                      <w:szCs w:val="22"/>
                      <w:lang w:eastAsia="en-GB"/>
                    </w:rPr>
                    <w:t>38</w:t>
                  </w:r>
                </w:p>
              </w:tc>
              <w:tc>
                <w:tcPr>
                  <w:tcW w:w="361"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14:paraId="3BD437BE" w14:textId="77777777" w:rsidR="005257BD" w:rsidRPr="00997B81" w:rsidRDefault="005257BD" w:rsidP="00DA2F46">
                  <w:pPr>
                    <w:framePr w:hSpace="180" w:wrap="around" w:vAnchor="text" w:hAnchor="margin" w:xAlign="center" w:y="95"/>
                    <w:jc w:val="center"/>
                    <w:rPr>
                      <w:rFonts w:cs="Arial"/>
                      <w:i/>
                      <w:iCs/>
                      <w:color w:val="000000"/>
                      <w:sz w:val="22"/>
                      <w:szCs w:val="22"/>
                      <w:lang w:eastAsia="en-GB"/>
                    </w:rPr>
                  </w:pPr>
                  <w:r w:rsidRPr="00997B81">
                    <w:rPr>
                      <w:rFonts w:cs="Arial"/>
                      <w:i/>
                      <w:iCs/>
                      <w:color w:val="000000"/>
                      <w:sz w:val="22"/>
                      <w:szCs w:val="22"/>
                      <w:lang w:eastAsia="en-GB"/>
                    </w:rPr>
                    <w:t>38</w:t>
                  </w:r>
                </w:p>
              </w:tc>
              <w:tc>
                <w:tcPr>
                  <w:tcW w:w="361"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14:paraId="576B526F" w14:textId="77777777" w:rsidR="005257BD" w:rsidRPr="00997B81" w:rsidRDefault="005257BD" w:rsidP="00DA2F46">
                  <w:pPr>
                    <w:framePr w:hSpace="180" w:wrap="around" w:vAnchor="text" w:hAnchor="margin" w:xAlign="center" w:y="95"/>
                    <w:jc w:val="center"/>
                    <w:rPr>
                      <w:rFonts w:cs="Arial"/>
                      <w:i/>
                      <w:iCs/>
                      <w:color w:val="000000"/>
                      <w:sz w:val="22"/>
                      <w:szCs w:val="22"/>
                      <w:lang w:eastAsia="en-GB"/>
                    </w:rPr>
                  </w:pPr>
                  <w:r w:rsidRPr="00997B81">
                    <w:rPr>
                      <w:rFonts w:cs="Arial"/>
                      <w:i/>
                      <w:iCs/>
                      <w:color w:val="000000"/>
                      <w:sz w:val="22"/>
                      <w:szCs w:val="22"/>
                      <w:lang w:eastAsia="en-GB"/>
                    </w:rPr>
                    <w:t>39</w:t>
                  </w:r>
                </w:p>
              </w:tc>
              <w:tc>
                <w:tcPr>
                  <w:tcW w:w="361"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14:paraId="4B464111" w14:textId="77777777" w:rsidR="005257BD" w:rsidRPr="00997B81" w:rsidRDefault="005257BD" w:rsidP="00DA2F46">
                  <w:pPr>
                    <w:framePr w:hSpace="180" w:wrap="around" w:vAnchor="text" w:hAnchor="margin" w:xAlign="center" w:y="95"/>
                    <w:jc w:val="center"/>
                    <w:rPr>
                      <w:rFonts w:cs="Arial"/>
                      <w:i/>
                      <w:iCs/>
                      <w:color w:val="000000"/>
                      <w:sz w:val="22"/>
                      <w:szCs w:val="22"/>
                      <w:lang w:eastAsia="en-GB"/>
                    </w:rPr>
                  </w:pPr>
                  <w:r w:rsidRPr="00997B81">
                    <w:rPr>
                      <w:rFonts w:cs="Arial"/>
                      <w:i/>
                      <w:iCs/>
                      <w:color w:val="000000"/>
                      <w:sz w:val="22"/>
                      <w:szCs w:val="22"/>
                      <w:lang w:eastAsia="en-GB"/>
                    </w:rPr>
                    <w:t>36</w:t>
                  </w:r>
                </w:p>
              </w:tc>
              <w:tc>
                <w:tcPr>
                  <w:tcW w:w="361"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14:paraId="613B13B9" w14:textId="77777777" w:rsidR="005257BD" w:rsidRPr="00997B81" w:rsidRDefault="005257BD" w:rsidP="00DA2F46">
                  <w:pPr>
                    <w:framePr w:hSpace="180" w:wrap="around" w:vAnchor="text" w:hAnchor="margin" w:xAlign="center" w:y="95"/>
                    <w:jc w:val="center"/>
                    <w:rPr>
                      <w:rFonts w:cs="Arial"/>
                      <w:i/>
                      <w:iCs/>
                      <w:color w:val="000000"/>
                      <w:sz w:val="22"/>
                      <w:szCs w:val="22"/>
                      <w:lang w:eastAsia="en-GB"/>
                    </w:rPr>
                  </w:pPr>
                  <w:r w:rsidRPr="00997B81">
                    <w:rPr>
                      <w:rFonts w:cs="Arial"/>
                      <w:i/>
                      <w:iCs/>
                      <w:color w:val="000000"/>
                      <w:sz w:val="22"/>
                      <w:szCs w:val="22"/>
                      <w:lang w:eastAsia="en-GB"/>
                    </w:rPr>
                    <w:t>39</w:t>
                  </w:r>
                </w:p>
              </w:tc>
              <w:tc>
                <w:tcPr>
                  <w:tcW w:w="1131"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32708549" w14:textId="77777777" w:rsidR="005257BD" w:rsidRPr="00997B81" w:rsidRDefault="005257BD" w:rsidP="00DA2F46">
                  <w:pPr>
                    <w:framePr w:hSpace="180" w:wrap="around" w:vAnchor="text" w:hAnchor="margin" w:xAlign="center" w:y="95"/>
                    <w:jc w:val="center"/>
                    <w:rPr>
                      <w:rFonts w:cs="Arial"/>
                      <w:color w:val="0000FF"/>
                      <w:sz w:val="22"/>
                      <w:szCs w:val="22"/>
                      <w:u w:val="single"/>
                      <w:lang w:eastAsia="en-GB"/>
                    </w:rPr>
                  </w:pPr>
                  <w:hyperlink r:id="rId8" w:history="1">
                    <w:r w:rsidRPr="00997B81">
                      <w:rPr>
                        <w:rFonts w:cs="Arial"/>
                        <w:color w:val="000000"/>
                        <w:sz w:val="22"/>
                        <w:szCs w:val="22"/>
                        <w:lang w:eastAsia="en-GB"/>
                      </w:rPr>
                      <w:t>UAM Survey of PWID</w:t>
                    </w:r>
                    <w:r w:rsidRPr="00997B81">
                      <w:rPr>
                        <w:rFonts w:cs="Arial"/>
                        <w:color w:val="0000FF"/>
                        <w:sz w:val="22"/>
                        <w:szCs w:val="22"/>
                        <w:u w:val="single"/>
                        <w:lang w:eastAsia="en-GB"/>
                      </w:rPr>
                      <w:br/>
                    </w:r>
                    <w:r w:rsidRPr="00997B81">
                      <w:rPr>
                        <w:rFonts w:cs="Arial"/>
                        <w:color w:val="000000"/>
                        <w:sz w:val="22"/>
                        <w:szCs w:val="22"/>
                        <w:lang w:eastAsia="en-GB"/>
                      </w:rPr>
                      <w:t xml:space="preserve"> </w:t>
                    </w:r>
                    <w:r w:rsidRPr="00997B81">
                      <w:rPr>
                        <w:rFonts w:cs="Arial"/>
                        <w:color w:val="0000FF"/>
                        <w:sz w:val="22"/>
                        <w:szCs w:val="22"/>
                        <w:u w:val="single"/>
                        <w:lang w:eastAsia="en-GB"/>
                      </w:rPr>
                      <w:t>(further information here)</w:t>
                    </w:r>
                  </w:hyperlink>
                </w:p>
              </w:tc>
            </w:tr>
            <w:tr w:rsidR="005257BD" w:rsidRPr="00997B81" w14:paraId="2955C0AD" w14:textId="77777777" w:rsidTr="00DA2F46">
              <w:trPr>
                <w:trHeight w:val="458"/>
              </w:trPr>
              <w:tc>
                <w:tcPr>
                  <w:tcW w:w="549" w:type="pct"/>
                  <w:vMerge/>
                  <w:tcBorders>
                    <w:top w:val="single" w:sz="4" w:space="0" w:color="000000"/>
                    <w:left w:val="single" w:sz="4" w:space="0" w:color="000000"/>
                    <w:bottom w:val="single" w:sz="4" w:space="0" w:color="000000"/>
                    <w:right w:val="single" w:sz="4" w:space="0" w:color="000000"/>
                  </w:tcBorders>
                  <w:vAlign w:val="center"/>
                  <w:hideMark/>
                </w:tcPr>
                <w:p w14:paraId="627547E5" w14:textId="77777777" w:rsidR="005257BD" w:rsidRPr="00997B81" w:rsidRDefault="005257BD" w:rsidP="00DA2F46">
                  <w:pPr>
                    <w:framePr w:hSpace="180" w:wrap="around" w:vAnchor="text" w:hAnchor="margin" w:xAlign="center" w:y="95"/>
                    <w:rPr>
                      <w:rFonts w:cs="Arial"/>
                      <w:color w:val="000000"/>
                      <w:sz w:val="22"/>
                      <w:szCs w:val="22"/>
                      <w:lang w:eastAsia="en-GB"/>
                    </w:rPr>
                  </w:pPr>
                </w:p>
              </w:tc>
              <w:tc>
                <w:tcPr>
                  <w:tcW w:w="1302" w:type="pct"/>
                  <w:vMerge/>
                  <w:tcBorders>
                    <w:top w:val="nil"/>
                    <w:left w:val="single" w:sz="4" w:space="0" w:color="000000"/>
                    <w:bottom w:val="single" w:sz="4" w:space="0" w:color="000000"/>
                    <w:right w:val="single" w:sz="4" w:space="0" w:color="000000"/>
                  </w:tcBorders>
                  <w:vAlign w:val="center"/>
                  <w:hideMark/>
                </w:tcPr>
                <w:p w14:paraId="4853FC40" w14:textId="77777777" w:rsidR="005257BD" w:rsidRPr="00997B81" w:rsidRDefault="005257BD" w:rsidP="00DA2F46">
                  <w:pPr>
                    <w:framePr w:hSpace="180" w:wrap="around" w:vAnchor="text" w:hAnchor="margin" w:xAlign="center" w:y="95"/>
                    <w:rPr>
                      <w:rFonts w:cs="Arial"/>
                      <w:i/>
                      <w:iCs/>
                      <w:color w:val="000000"/>
                      <w:sz w:val="22"/>
                      <w:szCs w:val="22"/>
                      <w:lang w:eastAsia="en-GB"/>
                    </w:rPr>
                  </w:pPr>
                </w:p>
              </w:tc>
              <w:tc>
                <w:tcPr>
                  <w:tcW w:w="215" w:type="pct"/>
                  <w:vMerge/>
                  <w:tcBorders>
                    <w:top w:val="nil"/>
                    <w:left w:val="single" w:sz="4" w:space="0" w:color="000000"/>
                    <w:bottom w:val="single" w:sz="4" w:space="0" w:color="000000"/>
                    <w:right w:val="single" w:sz="4" w:space="0" w:color="000000"/>
                  </w:tcBorders>
                  <w:vAlign w:val="center"/>
                  <w:hideMark/>
                </w:tcPr>
                <w:p w14:paraId="5900F7D8" w14:textId="77777777" w:rsidR="005257BD" w:rsidRPr="00997B81" w:rsidRDefault="005257BD" w:rsidP="00DA2F46">
                  <w:pPr>
                    <w:framePr w:hSpace="180" w:wrap="around" w:vAnchor="text" w:hAnchor="margin" w:xAlign="center" w:y="95"/>
                    <w:rPr>
                      <w:rFonts w:cs="Arial"/>
                      <w:b/>
                      <w:bCs/>
                      <w:i/>
                      <w:iCs/>
                      <w:color w:val="000000"/>
                      <w:sz w:val="22"/>
                      <w:szCs w:val="22"/>
                      <w:lang w:eastAsia="en-GB"/>
                    </w:rPr>
                  </w:pPr>
                </w:p>
              </w:tc>
              <w:tc>
                <w:tcPr>
                  <w:tcW w:w="361" w:type="pct"/>
                  <w:vMerge/>
                  <w:tcBorders>
                    <w:top w:val="nil"/>
                    <w:left w:val="single" w:sz="4" w:space="0" w:color="000000"/>
                    <w:bottom w:val="single" w:sz="4" w:space="0" w:color="000000"/>
                    <w:right w:val="single" w:sz="4" w:space="0" w:color="000000"/>
                  </w:tcBorders>
                  <w:vAlign w:val="center"/>
                  <w:hideMark/>
                </w:tcPr>
                <w:p w14:paraId="1530F615" w14:textId="77777777" w:rsidR="005257BD" w:rsidRPr="00997B81" w:rsidRDefault="005257BD" w:rsidP="00DA2F46">
                  <w:pPr>
                    <w:framePr w:hSpace="180" w:wrap="around" w:vAnchor="text" w:hAnchor="margin" w:xAlign="center" w:y="95"/>
                    <w:rPr>
                      <w:rFonts w:cs="Arial"/>
                      <w:i/>
                      <w:iCs/>
                      <w:color w:val="000000"/>
                      <w:sz w:val="22"/>
                      <w:szCs w:val="22"/>
                      <w:lang w:eastAsia="en-GB"/>
                    </w:rPr>
                  </w:pPr>
                </w:p>
              </w:tc>
              <w:tc>
                <w:tcPr>
                  <w:tcW w:w="361" w:type="pct"/>
                  <w:vMerge/>
                  <w:tcBorders>
                    <w:top w:val="nil"/>
                    <w:left w:val="single" w:sz="4" w:space="0" w:color="000000"/>
                    <w:bottom w:val="single" w:sz="4" w:space="0" w:color="000000"/>
                    <w:right w:val="single" w:sz="4" w:space="0" w:color="000000"/>
                  </w:tcBorders>
                  <w:vAlign w:val="center"/>
                  <w:hideMark/>
                </w:tcPr>
                <w:p w14:paraId="125D4A97" w14:textId="77777777" w:rsidR="005257BD" w:rsidRPr="00997B81" w:rsidRDefault="005257BD" w:rsidP="00DA2F46">
                  <w:pPr>
                    <w:framePr w:hSpace="180" w:wrap="around" w:vAnchor="text" w:hAnchor="margin" w:xAlign="center" w:y="95"/>
                    <w:rPr>
                      <w:rFonts w:cs="Arial"/>
                      <w:i/>
                      <w:iCs/>
                      <w:color w:val="000000"/>
                      <w:sz w:val="22"/>
                      <w:szCs w:val="22"/>
                      <w:lang w:eastAsia="en-GB"/>
                    </w:rPr>
                  </w:pPr>
                </w:p>
              </w:tc>
              <w:tc>
                <w:tcPr>
                  <w:tcW w:w="361" w:type="pct"/>
                  <w:vMerge/>
                  <w:tcBorders>
                    <w:top w:val="nil"/>
                    <w:left w:val="single" w:sz="4" w:space="0" w:color="000000"/>
                    <w:bottom w:val="single" w:sz="4" w:space="0" w:color="000000"/>
                    <w:right w:val="single" w:sz="4" w:space="0" w:color="000000"/>
                  </w:tcBorders>
                  <w:vAlign w:val="center"/>
                  <w:hideMark/>
                </w:tcPr>
                <w:p w14:paraId="200336DC" w14:textId="77777777" w:rsidR="005257BD" w:rsidRPr="00997B81" w:rsidRDefault="005257BD" w:rsidP="00DA2F46">
                  <w:pPr>
                    <w:framePr w:hSpace="180" w:wrap="around" w:vAnchor="text" w:hAnchor="margin" w:xAlign="center" w:y="95"/>
                    <w:rPr>
                      <w:rFonts w:cs="Arial"/>
                      <w:i/>
                      <w:iCs/>
                      <w:color w:val="000000"/>
                      <w:sz w:val="22"/>
                      <w:szCs w:val="22"/>
                      <w:lang w:eastAsia="en-GB"/>
                    </w:rPr>
                  </w:pPr>
                </w:p>
              </w:tc>
              <w:tc>
                <w:tcPr>
                  <w:tcW w:w="361" w:type="pct"/>
                  <w:vMerge/>
                  <w:tcBorders>
                    <w:top w:val="nil"/>
                    <w:left w:val="single" w:sz="4" w:space="0" w:color="000000"/>
                    <w:bottom w:val="single" w:sz="4" w:space="0" w:color="000000"/>
                    <w:right w:val="single" w:sz="4" w:space="0" w:color="000000"/>
                  </w:tcBorders>
                  <w:vAlign w:val="center"/>
                  <w:hideMark/>
                </w:tcPr>
                <w:p w14:paraId="365C4BA5" w14:textId="77777777" w:rsidR="005257BD" w:rsidRPr="00997B81" w:rsidRDefault="005257BD" w:rsidP="00DA2F46">
                  <w:pPr>
                    <w:framePr w:hSpace="180" w:wrap="around" w:vAnchor="text" w:hAnchor="margin" w:xAlign="center" w:y="95"/>
                    <w:rPr>
                      <w:rFonts w:cs="Arial"/>
                      <w:i/>
                      <w:iCs/>
                      <w:color w:val="000000"/>
                      <w:sz w:val="22"/>
                      <w:szCs w:val="22"/>
                      <w:lang w:eastAsia="en-GB"/>
                    </w:rPr>
                  </w:pPr>
                </w:p>
              </w:tc>
              <w:tc>
                <w:tcPr>
                  <w:tcW w:w="361" w:type="pct"/>
                  <w:vMerge/>
                  <w:tcBorders>
                    <w:top w:val="nil"/>
                    <w:left w:val="single" w:sz="4" w:space="0" w:color="000000"/>
                    <w:bottom w:val="single" w:sz="4" w:space="0" w:color="000000"/>
                    <w:right w:val="single" w:sz="4" w:space="0" w:color="000000"/>
                  </w:tcBorders>
                  <w:vAlign w:val="center"/>
                  <w:hideMark/>
                </w:tcPr>
                <w:p w14:paraId="0DCEDBDA" w14:textId="77777777" w:rsidR="005257BD" w:rsidRPr="00997B81" w:rsidRDefault="005257BD" w:rsidP="00DA2F46">
                  <w:pPr>
                    <w:framePr w:hSpace="180" w:wrap="around" w:vAnchor="text" w:hAnchor="margin" w:xAlign="center" w:y="95"/>
                    <w:rPr>
                      <w:rFonts w:cs="Arial"/>
                      <w:i/>
                      <w:iCs/>
                      <w:color w:val="000000"/>
                      <w:sz w:val="22"/>
                      <w:szCs w:val="22"/>
                      <w:lang w:eastAsia="en-GB"/>
                    </w:rPr>
                  </w:pPr>
                </w:p>
              </w:tc>
              <w:tc>
                <w:tcPr>
                  <w:tcW w:w="1131" w:type="pct"/>
                  <w:vMerge/>
                  <w:tcBorders>
                    <w:top w:val="nil"/>
                    <w:left w:val="single" w:sz="4" w:space="0" w:color="000000"/>
                    <w:bottom w:val="single" w:sz="4" w:space="0" w:color="000000"/>
                    <w:right w:val="single" w:sz="4" w:space="0" w:color="000000"/>
                  </w:tcBorders>
                  <w:vAlign w:val="center"/>
                  <w:hideMark/>
                </w:tcPr>
                <w:p w14:paraId="53D4E4AE" w14:textId="77777777" w:rsidR="005257BD" w:rsidRPr="00997B81" w:rsidRDefault="005257BD" w:rsidP="00DA2F46">
                  <w:pPr>
                    <w:framePr w:hSpace="180" w:wrap="around" w:vAnchor="text" w:hAnchor="margin" w:xAlign="center" w:y="95"/>
                    <w:rPr>
                      <w:rFonts w:cs="Arial"/>
                      <w:color w:val="0000FF"/>
                      <w:sz w:val="22"/>
                      <w:szCs w:val="22"/>
                      <w:u w:val="single"/>
                      <w:lang w:eastAsia="en-GB"/>
                    </w:rPr>
                  </w:pPr>
                </w:p>
              </w:tc>
            </w:tr>
            <w:tr w:rsidR="005257BD" w:rsidRPr="00997B81" w14:paraId="5DC61336" w14:textId="77777777" w:rsidTr="00DA2F46">
              <w:trPr>
                <w:trHeight w:val="458"/>
              </w:trPr>
              <w:tc>
                <w:tcPr>
                  <w:tcW w:w="549" w:type="pct"/>
                  <w:vMerge/>
                  <w:tcBorders>
                    <w:top w:val="single" w:sz="4" w:space="0" w:color="000000"/>
                    <w:left w:val="single" w:sz="4" w:space="0" w:color="000000"/>
                    <w:bottom w:val="single" w:sz="4" w:space="0" w:color="000000"/>
                    <w:right w:val="single" w:sz="4" w:space="0" w:color="000000"/>
                  </w:tcBorders>
                  <w:vAlign w:val="center"/>
                  <w:hideMark/>
                </w:tcPr>
                <w:p w14:paraId="59CD820A" w14:textId="77777777" w:rsidR="005257BD" w:rsidRPr="00997B81" w:rsidRDefault="005257BD" w:rsidP="00DA2F46">
                  <w:pPr>
                    <w:framePr w:hSpace="180" w:wrap="around" w:vAnchor="text" w:hAnchor="margin" w:xAlign="center" w:y="95"/>
                    <w:rPr>
                      <w:rFonts w:cs="Arial"/>
                      <w:color w:val="000000"/>
                      <w:sz w:val="22"/>
                      <w:szCs w:val="22"/>
                      <w:lang w:eastAsia="en-GB"/>
                    </w:rPr>
                  </w:pPr>
                </w:p>
              </w:tc>
              <w:tc>
                <w:tcPr>
                  <w:tcW w:w="1302" w:type="pct"/>
                  <w:vMerge/>
                  <w:tcBorders>
                    <w:top w:val="nil"/>
                    <w:left w:val="single" w:sz="4" w:space="0" w:color="000000"/>
                    <w:bottom w:val="single" w:sz="4" w:space="0" w:color="000000"/>
                    <w:right w:val="single" w:sz="4" w:space="0" w:color="000000"/>
                  </w:tcBorders>
                  <w:vAlign w:val="center"/>
                  <w:hideMark/>
                </w:tcPr>
                <w:p w14:paraId="3C02A7A1" w14:textId="77777777" w:rsidR="005257BD" w:rsidRPr="00997B81" w:rsidRDefault="005257BD" w:rsidP="00DA2F46">
                  <w:pPr>
                    <w:framePr w:hSpace="180" w:wrap="around" w:vAnchor="text" w:hAnchor="margin" w:xAlign="center" w:y="95"/>
                    <w:rPr>
                      <w:rFonts w:cs="Arial"/>
                      <w:i/>
                      <w:iCs/>
                      <w:color w:val="000000"/>
                      <w:sz w:val="22"/>
                      <w:szCs w:val="22"/>
                      <w:lang w:eastAsia="en-GB"/>
                    </w:rPr>
                  </w:pPr>
                </w:p>
              </w:tc>
              <w:tc>
                <w:tcPr>
                  <w:tcW w:w="215" w:type="pct"/>
                  <w:vMerge/>
                  <w:tcBorders>
                    <w:top w:val="nil"/>
                    <w:left w:val="single" w:sz="4" w:space="0" w:color="000000"/>
                    <w:bottom w:val="single" w:sz="4" w:space="0" w:color="000000"/>
                    <w:right w:val="single" w:sz="4" w:space="0" w:color="000000"/>
                  </w:tcBorders>
                  <w:vAlign w:val="center"/>
                  <w:hideMark/>
                </w:tcPr>
                <w:p w14:paraId="4CE597D7" w14:textId="77777777" w:rsidR="005257BD" w:rsidRPr="00997B81" w:rsidRDefault="005257BD" w:rsidP="00DA2F46">
                  <w:pPr>
                    <w:framePr w:hSpace="180" w:wrap="around" w:vAnchor="text" w:hAnchor="margin" w:xAlign="center" w:y="95"/>
                    <w:rPr>
                      <w:rFonts w:cs="Arial"/>
                      <w:b/>
                      <w:bCs/>
                      <w:i/>
                      <w:iCs/>
                      <w:color w:val="000000"/>
                      <w:sz w:val="22"/>
                      <w:szCs w:val="22"/>
                      <w:lang w:eastAsia="en-GB"/>
                    </w:rPr>
                  </w:pPr>
                </w:p>
              </w:tc>
              <w:tc>
                <w:tcPr>
                  <w:tcW w:w="361" w:type="pct"/>
                  <w:vMerge/>
                  <w:tcBorders>
                    <w:top w:val="nil"/>
                    <w:left w:val="single" w:sz="4" w:space="0" w:color="000000"/>
                    <w:bottom w:val="single" w:sz="4" w:space="0" w:color="000000"/>
                    <w:right w:val="single" w:sz="4" w:space="0" w:color="000000"/>
                  </w:tcBorders>
                  <w:vAlign w:val="center"/>
                  <w:hideMark/>
                </w:tcPr>
                <w:p w14:paraId="1EFEF078" w14:textId="77777777" w:rsidR="005257BD" w:rsidRPr="00997B81" w:rsidRDefault="005257BD" w:rsidP="00DA2F46">
                  <w:pPr>
                    <w:framePr w:hSpace="180" w:wrap="around" w:vAnchor="text" w:hAnchor="margin" w:xAlign="center" w:y="95"/>
                    <w:rPr>
                      <w:rFonts w:cs="Arial"/>
                      <w:i/>
                      <w:iCs/>
                      <w:color w:val="000000"/>
                      <w:sz w:val="22"/>
                      <w:szCs w:val="22"/>
                      <w:lang w:eastAsia="en-GB"/>
                    </w:rPr>
                  </w:pPr>
                </w:p>
              </w:tc>
              <w:tc>
                <w:tcPr>
                  <w:tcW w:w="361" w:type="pct"/>
                  <w:vMerge/>
                  <w:tcBorders>
                    <w:top w:val="nil"/>
                    <w:left w:val="single" w:sz="4" w:space="0" w:color="000000"/>
                    <w:bottom w:val="single" w:sz="4" w:space="0" w:color="000000"/>
                    <w:right w:val="single" w:sz="4" w:space="0" w:color="000000"/>
                  </w:tcBorders>
                  <w:vAlign w:val="center"/>
                  <w:hideMark/>
                </w:tcPr>
                <w:p w14:paraId="355BEB82" w14:textId="77777777" w:rsidR="005257BD" w:rsidRPr="00997B81" w:rsidRDefault="005257BD" w:rsidP="00DA2F46">
                  <w:pPr>
                    <w:framePr w:hSpace="180" w:wrap="around" w:vAnchor="text" w:hAnchor="margin" w:xAlign="center" w:y="95"/>
                    <w:rPr>
                      <w:rFonts w:cs="Arial"/>
                      <w:i/>
                      <w:iCs/>
                      <w:color w:val="000000"/>
                      <w:sz w:val="22"/>
                      <w:szCs w:val="22"/>
                      <w:lang w:eastAsia="en-GB"/>
                    </w:rPr>
                  </w:pPr>
                </w:p>
              </w:tc>
              <w:tc>
                <w:tcPr>
                  <w:tcW w:w="361" w:type="pct"/>
                  <w:vMerge/>
                  <w:tcBorders>
                    <w:top w:val="nil"/>
                    <w:left w:val="single" w:sz="4" w:space="0" w:color="000000"/>
                    <w:bottom w:val="single" w:sz="4" w:space="0" w:color="000000"/>
                    <w:right w:val="single" w:sz="4" w:space="0" w:color="000000"/>
                  </w:tcBorders>
                  <w:vAlign w:val="center"/>
                  <w:hideMark/>
                </w:tcPr>
                <w:p w14:paraId="2266B1BF" w14:textId="77777777" w:rsidR="005257BD" w:rsidRPr="00997B81" w:rsidRDefault="005257BD" w:rsidP="00DA2F46">
                  <w:pPr>
                    <w:framePr w:hSpace="180" w:wrap="around" w:vAnchor="text" w:hAnchor="margin" w:xAlign="center" w:y="95"/>
                    <w:rPr>
                      <w:rFonts w:cs="Arial"/>
                      <w:i/>
                      <w:iCs/>
                      <w:color w:val="000000"/>
                      <w:sz w:val="22"/>
                      <w:szCs w:val="22"/>
                      <w:lang w:eastAsia="en-GB"/>
                    </w:rPr>
                  </w:pPr>
                </w:p>
              </w:tc>
              <w:tc>
                <w:tcPr>
                  <w:tcW w:w="361" w:type="pct"/>
                  <w:vMerge/>
                  <w:tcBorders>
                    <w:top w:val="nil"/>
                    <w:left w:val="single" w:sz="4" w:space="0" w:color="000000"/>
                    <w:bottom w:val="single" w:sz="4" w:space="0" w:color="000000"/>
                    <w:right w:val="single" w:sz="4" w:space="0" w:color="000000"/>
                  </w:tcBorders>
                  <w:vAlign w:val="center"/>
                  <w:hideMark/>
                </w:tcPr>
                <w:p w14:paraId="58BDA5DB" w14:textId="77777777" w:rsidR="005257BD" w:rsidRPr="00997B81" w:rsidRDefault="005257BD" w:rsidP="00DA2F46">
                  <w:pPr>
                    <w:framePr w:hSpace="180" w:wrap="around" w:vAnchor="text" w:hAnchor="margin" w:xAlign="center" w:y="95"/>
                    <w:rPr>
                      <w:rFonts w:cs="Arial"/>
                      <w:i/>
                      <w:iCs/>
                      <w:color w:val="000000"/>
                      <w:sz w:val="22"/>
                      <w:szCs w:val="22"/>
                      <w:lang w:eastAsia="en-GB"/>
                    </w:rPr>
                  </w:pPr>
                </w:p>
              </w:tc>
              <w:tc>
                <w:tcPr>
                  <w:tcW w:w="361" w:type="pct"/>
                  <w:vMerge/>
                  <w:tcBorders>
                    <w:top w:val="nil"/>
                    <w:left w:val="single" w:sz="4" w:space="0" w:color="000000"/>
                    <w:bottom w:val="single" w:sz="4" w:space="0" w:color="000000"/>
                    <w:right w:val="single" w:sz="4" w:space="0" w:color="000000"/>
                  </w:tcBorders>
                  <w:vAlign w:val="center"/>
                  <w:hideMark/>
                </w:tcPr>
                <w:p w14:paraId="7E90A89C" w14:textId="77777777" w:rsidR="005257BD" w:rsidRPr="00997B81" w:rsidRDefault="005257BD" w:rsidP="00DA2F46">
                  <w:pPr>
                    <w:framePr w:hSpace="180" w:wrap="around" w:vAnchor="text" w:hAnchor="margin" w:xAlign="center" w:y="95"/>
                    <w:rPr>
                      <w:rFonts w:cs="Arial"/>
                      <w:i/>
                      <w:iCs/>
                      <w:color w:val="000000"/>
                      <w:sz w:val="22"/>
                      <w:szCs w:val="22"/>
                      <w:lang w:eastAsia="en-GB"/>
                    </w:rPr>
                  </w:pPr>
                </w:p>
              </w:tc>
              <w:tc>
                <w:tcPr>
                  <w:tcW w:w="1131" w:type="pct"/>
                  <w:vMerge/>
                  <w:tcBorders>
                    <w:top w:val="nil"/>
                    <w:left w:val="single" w:sz="4" w:space="0" w:color="000000"/>
                    <w:bottom w:val="single" w:sz="4" w:space="0" w:color="000000"/>
                    <w:right w:val="single" w:sz="4" w:space="0" w:color="000000"/>
                  </w:tcBorders>
                  <w:vAlign w:val="center"/>
                  <w:hideMark/>
                </w:tcPr>
                <w:p w14:paraId="0EA151A6" w14:textId="77777777" w:rsidR="005257BD" w:rsidRPr="00997B81" w:rsidRDefault="005257BD" w:rsidP="00DA2F46">
                  <w:pPr>
                    <w:framePr w:hSpace="180" w:wrap="around" w:vAnchor="text" w:hAnchor="margin" w:xAlign="center" w:y="95"/>
                    <w:rPr>
                      <w:rFonts w:cs="Arial"/>
                      <w:color w:val="0000FF"/>
                      <w:sz w:val="22"/>
                      <w:szCs w:val="22"/>
                      <w:u w:val="single"/>
                      <w:lang w:eastAsia="en-GB"/>
                    </w:rPr>
                  </w:pPr>
                </w:p>
              </w:tc>
            </w:tr>
          </w:tbl>
          <w:p w14:paraId="12DBEA84" w14:textId="77777777" w:rsidR="005257BD" w:rsidRPr="00997B81" w:rsidRDefault="005257BD" w:rsidP="00DA2F46">
            <w:pPr>
              <w:rPr>
                <w:rFonts w:cs="Arial"/>
                <w:bCs/>
                <w:sz w:val="22"/>
                <w:szCs w:val="22"/>
              </w:rPr>
            </w:pPr>
          </w:p>
          <w:p w14:paraId="19C09303" w14:textId="77777777" w:rsidR="005257BD" w:rsidRPr="00997B81" w:rsidRDefault="005257BD" w:rsidP="00DA2F46">
            <w:pPr>
              <w:rPr>
                <w:rFonts w:cs="Arial"/>
                <w:bCs/>
                <w:i/>
                <w:sz w:val="22"/>
                <w:szCs w:val="22"/>
              </w:rPr>
            </w:pPr>
            <w:r w:rsidRPr="00997B81">
              <w:rPr>
                <w:rFonts w:cs="Arial"/>
                <w:bCs/>
                <w:i/>
                <w:sz w:val="22"/>
                <w:szCs w:val="22"/>
              </w:rPr>
              <w:t xml:space="preserve">Source: Public Health England, Shooting Up report. Available from: </w:t>
            </w:r>
            <w:hyperlink r:id="rId9" w:history="1">
              <w:r w:rsidRPr="00997B81">
                <w:rPr>
                  <w:rStyle w:val="Hyperlink"/>
                  <w:rFonts w:eastAsia="MS ??" w:cs="Arial"/>
                  <w:bCs/>
                  <w:i/>
                  <w:sz w:val="22"/>
                  <w:szCs w:val="22"/>
                </w:rPr>
                <w:t>https://www.gov.uk/government/publications/shooting-up-infections-among-people-who-inject-drugs-in-the-uk</w:t>
              </w:r>
            </w:hyperlink>
            <w:r w:rsidRPr="00997B81">
              <w:rPr>
                <w:rFonts w:cs="Arial"/>
                <w:bCs/>
                <w:i/>
                <w:sz w:val="22"/>
                <w:szCs w:val="22"/>
              </w:rPr>
              <w:t xml:space="preserve"> </w:t>
            </w:r>
          </w:p>
          <w:p w14:paraId="0BD49164" w14:textId="77777777" w:rsidR="005257BD" w:rsidRPr="00997B81" w:rsidRDefault="005257BD" w:rsidP="00DA2F46">
            <w:pPr>
              <w:rPr>
                <w:rFonts w:cs="Arial"/>
                <w:bCs/>
                <w:sz w:val="22"/>
                <w:szCs w:val="22"/>
              </w:rPr>
            </w:pPr>
          </w:p>
          <w:p w14:paraId="74DA5EC0" w14:textId="77777777" w:rsidR="005257BD" w:rsidRPr="00997B81" w:rsidRDefault="005257BD" w:rsidP="00DA2F46">
            <w:pPr>
              <w:rPr>
                <w:rFonts w:cs="Arial"/>
                <w:bCs/>
                <w:sz w:val="22"/>
                <w:szCs w:val="22"/>
              </w:rPr>
            </w:pPr>
          </w:p>
          <w:p w14:paraId="7871D924" w14:textId="77777777" w:rsidR="005257BD" w:rsidRPr="00997B81" w:rsidRDefault="005257BD" w:rsidP="00DA2F46">
            <w:pPr>
              <w:rPr>
                <w:rFonts w:cs="Arial"/>
                <w:bCs/>
                <w:sz w:val="22"/>
                <w:szCs w:val="22"/>
              </w:rPr>
            </w:pPr>
            <w:r w:rsidRPr="00997B81">
              <w:rPr>
                <w:rFonts w:cs="Arial"/>
                <w:bCs/>
                <w:sz w:val="22"/>
                <w:szCs w:val="22"/>
              </w:rPr>
              <w:t xml:space="preserve">From </w:t>
            </w:r>
            <w:r w:rsidRPr="00997B81">
              <w:rPr>
                <w:rFonts w:cs="Arial"/>
                <w:sz w:val="22"/>
                <w:szCs w:val="22"/>
              </w:rPr>
              <w:t xml:space="preserve">01/07/2022 to 30/06/2023 Pharmacy Needle Syringe Programmes provided 57% of all NSP services across Knowsley with 77% of separate visits being for Pharmacy Needle Syringe Programmes across service users. </w:t>
            </w:r>
          </w:p>
          <w:p w14:paraId="42A441C6" w14:textId="77777777" w:rsidR="005257BD" w:rsidRPr="00997B81" w:rsidRDefault="005257BD" w:rsidP="00DA2F46">
            <w:pPr>
              <w:rPr>
                <w:rFonts w:cs="Arial"/>
                <w:b/>
                <w:bCs/>
                <w:sz w:val="22"/>
                <w:szCs w:val="22"/>
              </w:rPr>
            </w:pPr>
          </w:p>
          <w:p w14:paraId="327C20F9" w14:textId="77777777" w:rsidR="005257BD" w:rsidRPr="00997B81" w:rsidRDefault="005257BD" w:rsidP="00DA2F46">
            <w:pPr>
              <w:rPr>
                <w:rFonts w:cs="Arial"/>
                <w:b/>
                <w:bCs/>
                <w:sz w:val="22"/>
                <w:szCs w:val="22"/>
              </w:rPr>
            </w:pPr>
            <w:r w:rsidRPr="00997B81">
              <w:rPr>
                <w:rFonts w:cs="Arial"/>
                <w:b/>
                <w:bCs/>
                <w:sz w:val="22"/>
                <w:szCs w:val="22"/>
              </w:rPr>
              <w:t>Local Context:</w:t>
            </w:r>
          </w:p>
          <w:p w14:paraId="5F09B457" w14:textId="77777777" w:rsidR="005257BD" w:rsidRPr="00997B81" w:rsidRDefault="005257BD" w:rsidP="00DA2F46">
            <w:pPr>
              <w:rPr>
                <w:rFonts w:cs="Arial"/>
                <w:bCs/>
                <w:sz w:val="22"/>
                <w:szCs w:val="22"/>
              </w:rPr>
            </w:pPr>
          </w:p>
          <w:p w14:paraId="12585D2D" w14:textId="77777777" w:rsidR="005257BD" w:rsidRPr="00997B81" w:rsidRDefault="005257BD" w:rsidP="00DA2F46">
            <w:pPr>
              <w:pStyle w:val="NormalWeb"/>
              <w:rPr>
                <w:rFonts w:ascii="Arial" w:hAnsi="Arial" w:cs="Arial"/>
                <w:sz w:val="22"/>
                <w:szCs w:val="22"/>
              </w:rPr>
            </w:pPr>
            <w:r w:rsidRPr="00997B81">
              <w:rPr>
                <w:rFonts w:ascii="Arial" w:hAnsi="Arial" w:cs="Arial"/>
                <w:bCs/>
                <w:sz w:val="22"/>
                <w:szCs w:val="22"/>
              </w:rPr>
              <w:t xml:space="preserve">The latest prevalence </w:t>
            </w:r>
            <w:proofErr w:type="gramStart"/>
            <w:r w:rsidRPr="00997B81">
              <w:rPr>
                <w:rFonts w:ascii="Arial" w:hAnsi="Arial" w:cs="Arial"/>
                <w:bCs/>
                <w:sz w:val="22"/>
                <w:szCs w:val="22"/>
              </w:rPr>
              <w:t>estimate</w:t>
            </w:r>
            <w:proofErr w:type="gramEnd"/>
            <w:r w:rsidRPr="00997B81">
              <w:rPr>
                <w:rFonts w:ascii="Arial" w:hAnsi="Arial" w:cs="Arial"/>
                <w:bCs/>
                <w:sz w:val="22"/>
                <w:szCs w:val="22"/>
              </w:rPr>
              <w:t xml:space="preserve"> available from Office for Health Improvement and Disparities, produced by Liverpool John Moores University (based on 2016/17 data), </w:t>
            </w:r>
            <w:r w:rsidRPr="00997B81">
              <w:rPr>
                <w:rFonts w:ascii="Arial" w:hAnsi="Arial" w:cs="Arial"/>
                <w:sz w:val="22"/>
                <w:szCs w:val="22"/>
              </w:rPr>
              <w:t xml:space="preserve">indicates that Knowsley had a 15–64-year-old population of </w:t>
            </w:r>
            <w:r w:rsidRPr="00997B81">
              <w:rPr>
                <w:rFonts w:ascii="Arial" w:hAnsi="Arial" w:cs="Arial"/>
                <w:color w:val="000000" w:themeColor="text1"/>
                <w:sz w:val="22"/>
                <w:szCs w:val="22"/>
              </w:rPr>
              <w:t xml:space="preserve">95,572 </w:t>
            </w:r>
            <w:r w:rsidRPr="00997B81">
              <w:rPr>
                <w:rFonts w:ascii="Arial" w:hAnsi="Arial" w:cs="Arial"/>
                <w:sz w:val="22"/>
                <w:szCs w:val="22"/>
              </w:rPr>
              <w:t>and has an estimated total number of 1,145 Opiate and Crack Users (OCUs)</w:t>
            </w:r>
            <w:r w:rsidRPr="00997B81">
              <w:rPr>
                <w:rFonts w:ascii="Arial" w:hAnsi="Arial" w:cs="Arial"/>
                <w:b/>
                <w:bCs/>
                <w:sz w:val="22"/>
                <w:szCs w:val="22"/>
              </w:rPr>
              <w:t xml:space="preserve"> </w:t>
            </w:r>
            <w:r w:rsidRPr="00997B81">
              <w:rPr>
                <w:rFonts w:ascii="Arial" w:hAnsi="Arial" w:cs="Arial"/>
                <w:bCs/>
                <w:sz w:val="22"/>
                <w:szCs w:val="22"/>
              </w:rPr>
              <w:t xml:space="preserve">(with a 95% confidence interval of between 853 –1,421). Therefore, it is estimated that per thousand of the population Knowsley has 12.0 OCU’s compared to the national average of 8.9 OCU’s per thousand of the population. </w:t>
            </w:r>
            <w:r w:rsidRPr="00997B81">
              <w:rPr>
                <w:rFonts w:ascii="Arial" w:hAnsi="Arial" w:cs="Arial"/>
                <w:sz w:val="22"/>
                <w:szCs w:val="22"/>
              </w:rPr>
              <w:t>Ambition for addressing unmet need for treatment will be determined locally, in the context of an integrated approach to alcohol and drug harm and any broader local public health strategy.</w:t>
            </w:r>
          </w:p>
          <w:p w14:paraId="62FB4C94" w14:textId="77777777" w:rsidR="005257BD" w:rsidRPr="00997B81" w:rsidRDefault="005257BD" w:rsidP="00DA2F46">
            <w:pPr>
              <w:rPr>
                <w:rFonts w:cs="Arial"/>
                <w:bCs/>
                <w:sz w:val="22"/>
                <w:szCs w:val="22"/>
              </w:rPr>
            </w:pPr>
          </w:p>
          <w:p w14:paraId="5DB5C3AC" w14:textId="77777777" w:rsidR="005257BD" w:rsidRPr="00997B81" w:rsidRDefault="005257BD" w:rsidP="00DA2F46">
            <w:pPr>
              <w:rPr>
                <w:rFonts w:cs="Arial"/>
                <w:bCs/>
                <w:sz w:val="22"/>
                <w:szCs w:val="22"/>
              </w:rPr>
            </w:pPr>
          </w:p>
          <w:tbl>
            <w:tblPr>
              <w:tblStyle w:val="TableGrid"/>
              <w:tblW w:w="0" w:type="auto"/>
              <w:tblInd w:w="817" w:type="dxa"/>
              <w:tblLayout w:type="fixed"/>
              <w:tblLook w:val="04A0" w:firstRow="1" w:lastRow="0" w:firstColumn="1" w:lastColumn="0" w:noHBand="0" w:noVBand="1"/>
            </w:tblPr>
            <w:tblGrid>
              <w:gridCol w:w="1518"/>
              <w:gridCol w:w="2735"/>
              <w:gridCol w:w="3543"/>
            </w:tblGrid>
            <w:tr w:rsidR="005257BD" w:rsidRPr="00997B81" w14:paraId="143A4F2D" w14:textId="77777777" w:rsidTr="00DA2F46">
              <w:tc>
                <w:tcPr>
                  <w:tcW w:w="1518" w:type="dxa"/>
                </w:tcPr>
                <w:p w14:paraId="21208BA2" w14:textId="77777777" w:rsidR="005257BD" w:rsidRPr="00997B81" w:rsidRDefault="005257BD" w:rsidP="00DA2F46">
                  <w:pPr>
                    <w:framePr w:hSpace="180" w:wrap="around" w:vAnchor="text" w:hAnchor="margin" w:xAlign="center" w:y="95"/>
                    <w:rPr>
                      <w:rFonts w:cs="Arial"/>
                      <w:bCs/>
                      <w:sz w:val="22"/>
                      <w:szCs w:val="22"/>
                    </w:rPr>
                  </w:pPr>
                </w:p>
              </w:tc>
              <w:tc>
                <w:tcPr>
                  <w:tcW w:w="2735" w:type="dxa"/>
                </w:tcPr>
                <w:p w14:paraId="789979C6" w14:textId="77777777" w:rsidR="005257BD" w:rsidRPr="00997B81" w:rsidRDefault="005257BD" w:rsidP="00DA2F46">
                  <w:pPr>
                    <w:framePr w:hSpace="180" w:wrap="around" w:vAnchor="text" w:hAnchor="margin" w:xAlign="center" w:y="95"/>
                    <w:rPr>
                      <w:rFonts w:cs="Arial"/>
                      <w:b/>
                      <w:sz w:val="22"/>
                      <w:szCs w:val="22"/>
                      <w:u w:val="single"/>
                    </w:rPr>
                  </w:pPr>
                  <w:r w:rsidRPr="00997B81">
                    <w:rPr>
                      <w:rFonts w:cs="Arial"/>
                      <w:b/>
                      <w:sz w:val="22"/>
                      <w:szCs w:val="22"/>
                      <w:u w:val="single"/>
                    </w:rPr>
                    <w:t>Estimated Number of Users</w:t>
                  </w:r>
                </w:p>
              </w:tc>
              <w:tc>
                <w:tcPr>
                  <w:tcW w:w="3543" w:type="dxa"/>
                </w:tcPr>
                <w:p w14:paraId="32E19C6A" w14:textId="77777777" w:rsidR="005257BD" w:rsidRPr="00997B81" w:rsidRDefault="005257BD" w:rsidP="00DA2F46">
                  <w:pPr>
                    <w:framePr w:hSpace="180" w:wrap="around" w:vAnchor="text" w:hAnchor="margin" w:xAlign="center" w:y="95"/>
                    <w:jc w:val="center"/>
                    <w:rPr>
                      <w:rFonts w:cs="Arial"/>
                      <w:b/>
                      <w:sz w:val="22"/>
                      <w:szCs w:val="22"/>
                      <w:u w:val="single"/>
                    </w:rPr>
                  </w:pPr>
                  <w:r w:rsidRPr="00997B81">
                    <w:rPr>
                      <w:rFonts w:cs="Arial"/>
                      <w:b/>
                      <w:sz w:val="22"/>
                      <w:szCs w:val="22"/>
                      <w:u w:val="single"/>
                    </w:rPr>
                    <w:t>Rate per thousand of the population</w:t>
                  </w:r>
                </w:p>
              </w:tc>
            </w:tr>
            <w:tr w:rsidR="005257BD" w:rsidRPr="00997B81" w14:paraId="0084A261" w14:textId="77777777" w:rsidTr="00DA2F46">
              <w:tc>
                <w:tcPr>
                  <w:tcW w:w="1518" w:type="dxa"/>
                </w:tcPr>
                <w:p w14:paraId="1BFC1B76" w14:textId="77777777" w:rsidR="005257BD" w:rsidRPr="00997B81" w:rsidRDefault="005257BD" w:rsidP="00DA2F46">
                  <w:pPr>
                    <w:framePr w:hSpace="180" w:wrap="around" w:vAnchor="text" w:hAnchor="margin" w:xAlign="center" w:y="95"/>
                    <w:rPr>
                      <w:rFonts w:cs="Arial"/>
                      <w:b/>
                      <w:bCs/>
                      <w:sz w:val="22"/>
                      <w:szCs w:val="22"/>
                    </w:rPr>
                  </w:pPr>
                  <w:r w:rsidRPr="00997B81">
                    <w:rPr>
                      <w:rFonts w:cs="Arial"/>
                      <w:b/>
                      <w:bCs/>
                      <w:sz w:val="22"/>
                      <w:szCs w:val="22"/>
                    </w:rPr>
                    <w:t>OCUs</w:t>
                  </w:r>
                </w:p>
              </w:tc>
              <w:tc>
                <w:tcPr>
                  <w:tcW w:w="2735" w:type="dxa"/>
                </w:tcPr>
                <w:p w14:paraId="31B6347E" w14:textId="77777777" w:rsidR="005257BD" w:rsidRPr="00997B81" w:rsidRDefault="005257BD" w:rsidP="00DA2F46">
                  <w:pPr>
                    <w:framePr w:hSpace="180" w:wrap="around" w:vAnchor="text" w:hAnchor="margin" w:xAlign="center" w:y="95"/>
                    <w:jc w:val="center"/>
                    <w:rPr>
                      <w:rFonts w:cs="Arial"/>
                      <w:bCs/>
                      <w:sz w:val="22"/>
                      <w:szCs w:val="22"/>
                    </w:rPr>
                  </w:pPr>
                  <w:r w:rsidRPr="00997B81">
                    <w:rPr>
                      <w:rFonts w:cs="Arial"/>
                      <w:bCs/>
                      <w:sz w:val="22"/>
                      <w:szCs w:val="22"/>
                    </w:rPr>
                    <w:t>1,145</w:t>
                  </w:r>
                </w:p>
              </w:tc>
              <w:tc>
                <w:tcPr>
                  <w:tcW w:w="3543" w:type="dxa"/>
                </w:tcPr>
                <w:p w14:paraId="36088936" w14:textId="77777777" w:rsidR="005257BD" w:rsidRPr="00997B81" w:rsidRDefault="005257BD" w:rsidP="00DA2F46">
                  <w:pPr>
                    <w:framePr w:hSpace="180" w:wrap="around" w:vAnchor="text" w:hAnchor="margin" w:xAlign="center" w:y="95"/>
                    <w:jc w:val="center"/>
                    <w:rPr>
                      <w:rFonts w:cs="Arial"/>
                      <w:bCs/>
                      <w:sz w:val="22"/>
                      <w:szCs w:val="22"/>
                    </w:rPr>
                  </w:pPr>
                  <w:r w:rsidRPr="00997B81">
                    <w:rPr>
                      <w:rFonts w:cs="Arial"/>
                      <w:bCs/>
                      <w:sz w:val="22"/>
                      <w:szCs w:val="22"/>
                    </w:rPr>
                    <w:t>11.98</w:t>
                  </w:r>
                </w:p>
              </w:tc>
            </w:tr>
            <w:tr w:rsidR="005257BD" w:rsidRPr="00997B81" w14:paraId="04926C49" w14:textId="77777777" w:rsidTr="00DA2F46">
              <w:tc>
                <w:tcPr>
                  <w:tcW w:w="1518" w:type="dxa"/>
                </w:tcPr>
                <w:p w14:paraId="7B561AD5" w14:textId="77777777" w:rsidR="005257BD" w:rsidRPr="00997B81" w:rsidRDefault="005257BD" w:rsidP="00DA2F46">
                  <w:pPr>
                    <w:framePr w:hSpace="180" w:wrap="around" w:vAnchor="text" w:hAnchor="margin" w:xAlign="center" w:y="95"/>
                    <w:rPr>
                      <w:rFonts w:cs="Arial"/>
                      <w:b/>
                      <w:bCs/>
                      <w:sz w:val="22"/>
                      <w:szCs w:val="22"/>
                    </w:rPr>
                  </w:pPr>
                  <w:r w:rsidRPr="00997B81">
                    <w:rPr>
                      <w:rFonts w:cs="Arial"/>
                      <w:b/>
                      <w:bCs/>
                      <w:sz w:val="22"/>
                      <w:szCs w:val="22"/>
                    </w:rPr>
                    <w:t>Opiate</w:t>
                  </w:r>
                </w:p>
              </w:tc>
              <w:tc>
                <w:tcPr>
                  <w:tcW w:w="2735" w:type="dxa"/>
                </w:tcPr>
                <w:p w14:paraId="3150550B" w14:textId="77777777" w:rsidR="005257BD" w:rsidRPr="00997B81" w:rsidRDefault="005257BD" w:rsidP="00DA2F46">
                  <w:pPr>
                    <w:framePr w:hSpace="180" w:wrap="around" w:vAnchor="text" w:hAnchor="margin" w:xAlign="center" w:y="95"/>
                    <w:jc w:val="center"/>
                    <w:rPr>
                      <w:rFonts w:cs="Arial"/>
                      <w:bCs/>
                      <w:sz w:val="22"/>
                      <w:szCs w:val="22"/>
                    </w:rPr>
                  </w:pPr>
                  <w:r w:rsidRPr="00997B81">
                    <w:rPr>
                      <w:rFonts w:cs="Arial"/>
                      <w:bCs/>
                      <w:sz w:val="22"/>
                      <w:szCs w:val="22"/>
                    </w:rPr>
                    <w:t>969</w:t>
                  </w:r>
                </w:p>
              </w:tc>
              <w:tc>
                <w:tcPr>
                  <w:tcW w:w="3543" w:type="dxa"/>
                </w:tcPr>
                <w:p w14:paraId="71DB4928" w14:textId="77777777" w:rsidR="005257BD" w:rsidRPr="00997B81" w:rsidRDefault="005257BD" w:rsidP="00DA2F46">
                  <w:pPr>
                    <w:framePr w:hSpace="180" w:wrap="around" w:vAnchor="text" w:hAnchor="margin" w:xAlign="center" w:y="95"/>
                    <w:jc w:val="center"/>
                    <w:rPr>
                      <w:rFonts w:cs="Arial"/>
                      <w:bCs/>
                      <w:sz w:val="22"/>
                      <w:szCs w:val="22"/>
                    </w:rPr>
                  </w:pPr>
                  <w:r w:rsidRPr="00997B81">
                    <w:rPr>
                      <w:rFonts w:cs="Arial"/>
                      <w:bCs/>
                      <w:sz w:val="22"/>
                      <w:szCs w:val="22"/>
                    </w:rPr>
                    <w:t>10.14</w:t>
                  </w:r>
                </w:p>
              </w:tc>
            </w:tr>
            <w:tr w:rsidR="005257BD" w:rsidRPr="00997B81" w14:paraId="3063DB7B" w14:textId="77777777" w:rsidTr="00DA2F46">
              <w:tc>
                <w:tcPr>
                  <w:tcW w:w="1518" w:type="dxa"/>
                </w:tcPr>
                <w:p w14:paraId="0050DD9A" w14:textId="77777777" w:rsidR="005257BD" w:rsidRPr="00997B81" w:rsidRDefault="005257BD" w:rsidP="00DA2F46">
                  <w:pPr>
                    <w:framePr w:hSpace="180" w:wrap="around" w:vAnchor="text" w:hAnchor="margin" w:xAlign="center" w:y="95"/>
                    <w:rPr>
                      <w:rFonts w:cs="Arial"/>
                      <w:b/>
                      <w:bCs/>
                      <w:sz w:val="22"/>
                      <w:szCs w:val="22"/>
                    </w:rPr>
                  </w:pPr>
                  <w:r w:rsidRPr="00997B81">
                    <w:rPr>
                      <w:rFonts w:cs="Arial"/>
                      <w:b/>
                      <w:bCs/>
                      <w:sz w:val="22"/>
                      <w:szCs w:val="22"/>
                    </w:rPr>
                    <w:t xml:space="preserve">Crack </w:t>
                  </w:r>
                </w:p>
              </w:tc>
              <w:tc>
                <w:tcPr>
                  <w:tcW w:w="2735" w:type="dxa"/>
                </w:tcPr>
                <w:p w14:paraId="39520F73" w14:textId="77777777" w:rsidR="005257BD" w:rsidRPr="00997B81" w:rsidRDefault="005257BD" w:rsidP="00DA2F46">
                  <w:pPr>
                    <w:framePr w:hSpace="180" w:wrap="around" w:vAnchor="text" w:hAnchor="margin" w:xAlign="center" w:y="95"/>
                    <w:jc w:val="center"/>
                    <w:rPr>
                      <w:rFonts w:cs="Arial"/>
                      <w:bCs/>
                      <w:sz w:val="22"/>
                      <w:szCs w:val="22"/>
                    </w:rPr>
                  </w:pPr>
                  <w:r w:rsidRPr="00997B81">
                    <w:rPr>
                      <w:rFonts w:cs="Arial"/>
                      <w:bCs/>
                      <w:sz w:val="22"/>
                      <w:szCs w:val="22"/>
                    </w:rPr>
                    <w:t>646</w:t>
                  </w:r>
                </w:p>
              </w:tc>
              <w:tc>
                <w:tcPr>
                  <w:tcW w:w="3543" w:type="dxa"/>
                </w:tcPr>
                <w:p w14:paraId="1C277297" w14:textId="77777777" w:rsidR="005257BD" w:rsidRPr="00997B81" w:rsidRDefault="005257BD" w:rsidP="00DA2F46">
                  <w:pPr>
                    <w:framePr w:hSpace="180" w:wrap="around" w:vAnchor="text" w:hAnchor="margin" w:xAlign="center" w:y="95"/>
                    <w:jc w:val="center"/>
                    <w:rPr>
                      <w:rFonts w:cs="Arial"/>
                      <w:bCs/>
                      <w:sz w:val="22"/>
                      <w:szCs w:val="22"/>
                    </w:rPr>
                  </w:pPr>
                  <w:r w:rsidRPr="00997B81">
                    <w:rPr>
                      <w:rFonts w:cs="Arial"/>
                      <w:bCs/>
                      <w:sz w:val="22"/>
                      <w:szCs w:val="22"/>
                    </w:rPr>
                    <w:t>6.76</w:t>
                  </w:r>
                </w:p>
              </w:tc>
            </w:tr>
          </w:tbl>
          <w:p w14:paraId="01E7C23F" w14:textId="77777777" w:rsidR="005257BD" w:rsidRPr="00997B81" w:rsidRDefault="005257BD" w:rsidP="00DA2F46">
            <w:pPr>
              <w:rPr>
                <w:rFonts w:cs="Arial"/>
                <w:bCs/>
                <w:sz w:val="22"/>
                <w:szCs w:val="22"/>
              </w:rPr>
            </w:pPr>
          </w:p>
          <w:p w14:paraId="3313A615" w14:textId="77777777" w:rsidR="005257BD" w:rsidRPr="00997B81" w:rsidRDefault="005257BD" w:rsidP="00DA2F46">
            <w:pPr>
              <w:rPr>
                <w:rFonts w:cs="Arial"/>
                <w:bCs/>
                <w:sz w:val="22"/>
                <w:szCs w:val="22"/>
              </w:rPr>
            </w:pPr>
          </w:p>
          <w:p w14:paraId="13D73A24" w14:textId="77777777" w:rsidR="005257BD" w:rsidRPr="00997B81" w:rsidRDefault="005257BD" w:rsidP="00DA2F46">
            <w:pPr>
              <w:rPr>
                <w:rFonts w:cs="Arial"/>
                <w:b/>
                <w:sz w:val="22"/>
                <w:szCs w:val="22"/>
              </w:rPr>
            </w:pPr>
            <w:r w:rsidRPr="00997B81">
              <w:rPr>
                <w:rFonts w:cs="Arial"/>
                <w:b/>
                <w:sz w:val="22"/>
                <w:szCs w:val="22"/>
              </w:rPr>
              <w:t>Unmet need for Opiate and/or crack users (OCU) within Knowsley:</w:t>
            </w:r>
          </w:p>
          <w:p w14:paraId="42DE3EA3" w14:textId="77777777" w:rsidR="005257BD" w:rsidRPr="00997B81" w:rsidRDefault="005257BD" w:rsidP="00DA2F46">
            <w:pPr>
              <w:rPr>
                <w:rFonts w:cs="Arial"/>
                <w:bCs/>
                <w:sz w:val="22"/>
                <w:szCs w:val="22"/>
              </w:rPr>
            </w:pPr>
          </w:p>
          <w:tbl>
            <w:tblPr>
              <w:tblW w:w="896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960"/>
              <w:gridCol w:w="1201"/>
              <w:gridCol w:w="1201"/>
              <w:gridCol w:w="1201"/>
              <w:gridCol w:w="1201"/>
              <w:gridCol w:w="1201"/>
            </w:tblGrid>
            <w:tr w:rsidR="005257BD" w:rsidRPr="00997B81" w14:paraId="7EBA442F" w14:textId="77777777" w:rsidTr="00DA2F46">
              <w:tc>
                <w:tcPr>
                  <w:tcW w:w="2960" w:type="dxa"/>
                  <w:tcBorders>
                    <w:top w:val="single" w:sz="6" w:space="0" w:color="3C5A98"/>
                    <w:left w:val="single" w:sz="6" w:space="0" w:color="3C5A98"/>
                    <w:bottom w:val="single" w:sz="6" w:space="0" w:color="3C5A98"/>
                    <w:right w:val="single" w:sz="6" w:space="0" w:color="3C5A98"/>
                  </w:tcBorders>
                  <w:shd w:val="clear" w:color="auto" w:fill="0B476B"/>
                  <w:tcMar>
                    <w:top w:w="0" w:type="dxa"/>
                    <w:left w:w="105" w:type="dxa"/>
                    <w:bottom w:w="30" w:type="dxa"/>
                    <w:right w:w="105" w:type="dxa"/>
                  </w:tcMar>
                  <w:hideMark/>
                </w:tcPr>
                <w:p w14:paraId="6315B899" w14:textId="77777777" w:rsidR="005257BD" w:rsidRPr="00997B81" w:rsidRDefault="005257BD" w:rsidP="00DA2F46">
                  <w:pPr>
                    <w:framePr w:hSpace="180" w:wrap="around" w:vAnchor="text" w:hAnchor="margin" w:xAlign="center" w:y="95"/>
                    <w:jc w:val="center"/>
                    <w:rPr>
                      <w:rFonts w:cs="Arial"/>
                      <w:b/>
                      <w:bCs/>
                      <w:color w:val="FFFFFF"/>
                      <w:sz w:val="22"/>
                      <w:szCs w:val="22"/>
                      <w:lang w:eastAsia="en-GB"/>
                    </w:rPr>
                  </w:pPr>
                  <w:r w:rsidRPr="00997B81">
                    <w:rPr>
                      <w:rFonts w:cs="Arial"/>
                      <w:b/>
                      <w:bCs/>
                      <w:color w:val="FFFFFF"/>
                      <w:sz w:val="22"/>
                      <w:szCs w:val="22"/>
                      <w:lang w:eastAsia="en-GB"/>
                    </w:rPr>
                    <w:t>Unmet need</w:t>
                  </w:r>
                </w:p>
              </w:tc>
              <w:tc>
                <w:tcPr>
                  <w:tcW w:w="1201" w:type="dxa"/>
                  <w:tcBorders>
                    <w:top w:val="single" w:sz="6" w:space="0" w:color="3C5A98"/>
                    <w:left w:val="single" w:sz="6" w:space="0" w:color="3C5A98"/>
                    <w:bottom w:val="single" w:sz="6" w:space="0" w:color="3C5A98"/>
                    <w:right w:val="single" w:sz="6" w:space="0" w:color="3C5A98"/>
                  </w:tcBorders>
                  <w:shd w:val="clear" w:color="auto" w:fill="0B476B"/>
                  <w:tcMar>
                    <w:top w:w="0" w:type="dxa"/>
                    <w:left w:w="105" w:type="dxa"/>
                    <w:bottom w:w="30" w:type="dxa"/>
                    <w:right w:w="105" w:type="dxa"/>
                  </w:tcMar>
                  <w:hideMark/>
                </w:tcPr>
                <w:p w14:paraId="5357A710" w14:textId="77777777" w:rsidR="005257BD" w:rsidRPr="00997B81" w:rsidRDefault="005257BD" w:rsidP="00DA2F46">
                  <w:pPr>
                    <w:framePr w:hSpace="180" w:wrap="around" w:vAnchor="text" w:hAnchor="margin" w:xAlign="center" w:y="95"/>
                    <w:jc w:val="center"/>
                    <w:rPr>
                      <w:rFonts w:cs="Arial"/>
                      <w:b/>
                      <w:bCs/>
                      <w:color w:val="FFFFFF"/>
                      <w:sz w:val="22"/>
                      <w:szCs w:val="22"/>
                      <w:lang w:eastAsia="en-GB"/>
                    </w:rPr>
                  </w:pPr>
                  <w:r w:rsidRPr="00997B81">
                    <w:rPr>
                      <w:rFonts w:cs="Arial"/>
                      <w:b/>
                      <w:bCs/>
                      <w:color w:val="FFFFFF"/>
                      <w:sz w:val="22"/>
                      <w:szCs w:val="22"/>
                      <w:lang w:eastAsia="en-GB"/>
                    </w:rPr>
                    <w:t xml:space="preserve">2017/18 (%) </w:t>
                  </w:r>
                </w:p>
              </w:tc>
              <w:tc>
                <w:tcPr>
                  <w:tcW w:w="1201" w:type="dxa"/>
                  <w:tcBorders>
                    <w:top w:val="single" w:sz="6" w:space="0" w:color="3C5A98"/>
                    <w:left w:val="single" w:sz="6" w:space="0" w:color="3C5A98"/>
                    <w:bottom w:val="single" w:sz="6" w:space="0" w:color="3C5A98"/>
                    <w:right w:val="single" w:sz="6" w:space="0" w:color="3C5A98"/>
                  </w:tcBorders>
                  <w:shd w:val="clear" w:color="auto" w:fill="0B476B"/>
                  <w:tcMar>
                    <w:top w:w="0" w:type="dxa"/>
                    <w:left w:w="105" w:type="dxa"/>
                    <w:bottom w:w="30" w:type="dxa"/>
                    <w:right w:w="105" w:type="dxa"/>
                  </w:tcMar>
                  <w:hideMark/>
                </w:tcPr>
                <w:p w14:paraId="64B0F6B7" w14:textId="77777777" w:rsidR="005257BD" w:rsidRPr="00997B81" w:rsidRDefault="005257BD" w:rsidP="00DA2F46">
                  <w:pPr>
                    <w:framePr w:hSpace="180" w:wrap="around" w:vAnchor="text" w:hAnchor="margin" w:xAlign="center" w:y="95"/>
                    <w:jc w:val="center"/>
                    <w:rPr>
                      <w:rFonts w:cs="Arial"/>
                      <w:b/>
                      <w:bCs/>
                      <w:color w:val="FFFFFF"/>
                      <w:sz w:val="22"/>
                      <w:szCs w:val="22"/>
                      <w:lang w:eastAsia="en-GB"/>
                    </w:rPr>
                  </w:pPr>
                  <w:r w:rsidRPr="00997B81">
                    <w:rPr>
                      <w:rFonts w:cs="Arial"/>
                      <w:b/>
                      <w:bCs/>
                      <w:color w:val="FFFFFF"/>
                      <w:sz w:val="22"/>
                      <w:szCs w:val="22"/>
                      <w:lang w:eastAsia="en-GB"/>
                    </w:rPr>
                    <w:t xml:space="preserve">2018/19 (%) </w:t>
                  </w:r>
                </w:p>
              </w:tc>
              <w:tc>
                <w:tcPr>
                  <w:tcW w:w="1201" w:type="dxa"/>
                  <w:tcBorders>
                    <w:top w:val="single" w:sz="6" w:space="0" w:color="3C5A98"/>
                    <w:left w:val="single" w:sz="6" w:space="0" w:color="3C5A98"/>
                    <w:bottom w:val="single" w:sz="6" w:space="0" w:color="3C5A98"/>
                    <w:right w:val="single" w:sz="6" w:space="0" w:color="3C5A98"/>
                  </w:tcBorders>
                  <w:shd w:val="clear" w:color="auto" w:fill="0B476B"/>
                  <w:tcMar>
                    <w:top w:w="0" w:type="dxa"/>
                    <w:left w:w="105" w:type="dxa"/>
                    <w:bottom w:w="30" w:type="dxa"/>
                    <w:right w:w="105" w:type="dxa"/>
                  </w:tcMar>
                  <w:hideMark/>
                </w:tcPr>
                <w:p w14:paraId="73F5A584" w14:textId="77777777" w:rsidR="005257BD" w:rsidRPr="00997B81" w:rsidRDefault="005257BD" w:rsidP="00DA2F46">
                  <w:pPr>
                    <w:framePr w:hSpace="180" w:wrap="around" w:vAnchor="text" w:hAnchor="margin" w:xAlign="center" w:y="95"/>
                    <w:jc w:val="center"/>
                    <w:rPr>
                      <w:rFonts w:cs="Arial"/>
                      <w:b/>
                      <w:bCs/>
                      <w:color w:val="FFFFFF"/>
                      <w:sz w:val="22"/>
                      <w:szCs w:val="22"/>
                      <w:lang w:eastAsia="en-GB"/>
                    </w:rPr>
                  </w:pPr>
                  <w:r w:rsidRPr="00997B81">
                    <w:rPr>
                      <w:rFonts w:cs="Arial"/>
                      <w:b/>
                      <w:bCs/>
                      <w:color w:val="FFFFFF"/>
                      <w:sz w:val="22"/>
                      <w:szCs w:val="22"/>
                      <w:lang w:eastAsia="en-GB"/>
                    </w:rPr>
                    <w:t xml:space="preserve">2019/20 (%) </w:t>
                  </w:r>
                </w:p>
              </w:tc>
              <w:tc>
                <w:tcPr>
                  <w:tcW w:w="1201" w:type="dxa"/>
                  <w:tcBorders>
                    <w:top w:val="single" w:sz="6" w:space="0" w:color="3C5A98"/>
                    <w:left w:val="single" w:sz="6" w:space="0" w:color="3C5A98"/>
                    <w:bottom w:val="single" w:sz="6" w:space="0" w:color="3C5A98"/>
                    <w:right w:val="single" w:sz="6" w:space="0" w:color="3C5A98"/>
                  </w:tcBorders>
                  <w:shd w:val="clear" w:color="auto" w:fill="0B476B"/>
                  <w:tcMar>
                    <w:top w:w="0" w:type="dxa"/>
                    <w:left w:w="105" w:type="dxa"/>
                    <w:bottom w:w="30" w:type="dxa"/>
                    <w:right w:w="105" w:type="dxa"/>
                  </w:tcMar>
                  <w:hideMark/>
                </w:tcPr>
                <w:p w14:paraId="31DBAD65" w14:textId="77777777" w:rsidR="005257BD" w:rsidRPr="00997B81" w:rsidRDefault="005257BD" w:rsidP="00DA2F46">
                  <w:pPr>
                    <w:framePr w:hSpace="180" w:wrap="around" w:vAnchor="text" w:hAnchor="margin" w:xAlign="center" w:y="95"/>
                    <w:jc w:val="center"/>
                    <w:rPr>
                      <w:rFonts w:cs="Arial"/>
                      <w:b/>
                      <w:bCs/>
                      <w:color w:val="FFFFFF"/>
                      <w:sz w:val="22"/>
                      <w:szCs w:val="22"/>
                      <w:lang w:eastAsia="en-GB"/>
                    </w:rPr>
                  </w:pPr>
                  <w:r w:rsidRPr="00997B81">
                    <w:rPr>
                      <w:rFonts w:cs="Arial"/>
                      <w:b/>
                      <w:bCs/>
                      <w:color w:val="FFFFFF"/>
                      <w:sz w:val="22"/>
                      <w:szCs w:val="22"/>
                      <w:lang w:eastAsia="en-GB"/>
                    </w:rPr>
                    <w:t xml:space="preserve">2020/21 (%) </w:t>
                  </w:r>
                </w:p>
              </w:tc>
              <w:tc>
                <w:tcPr>
                  <w:tcW w:w="1201" w:type="dxa"/>
                  <w:tcBorders>
                    <w:top w:val="single" w:sz="6" w:space="0" w:color="3C5A98"/>
                    <w:left w:val="single" w:sz="6" w:space="0" w:color="3C5A98"/>
                    <w:bottom w:val="single" w:sz="6" w:space="0" w:color="3C5A98"/>
                    <w:right w:val="single" w:sz="6" w:space="0" w:color="3C5A98"/>
                  </w:tcBorders>
                  <w:shd w:val="clear" w:color="auto" w:fill="0B476B"/>
                  <w:tcMar>
                    <w:top w:w="0" w:type="dxa"/>
                    <w:left w:w="105" w:type="dxa"/>
                    <w:bottom w:w="30" w:type="dxa"/>
                    <w:right w:w="105" w:type="dxa"/>
                  </w:tcMar>
                  <w:hideMark/>
                </w:tcPr>
                <w:p w14:paraId="5397B9A8" w14:textId="77777777" w:rsidR="005257BD" w:rsidRPr="00997B81" w:rsidRDefault="005257BD" w:rsidP="00DA2F46">
                  <w:pPr>
                    <w:framePr w:hSpace="180" w:wrap="around" w:vAnchor="text" w:hAnchor="margin" w:xAlign="center" w:y="95"/>
                    <w:jc w:val="center"/>
                    <w:rPr>
                      <w:rFonts w:cs="Arial"/>
                      <w:b/>
                      <w:bCs/>
                      <w:color w:val="FFFFFF"/>
                      <w:sz w:val="22"/>
                      <w:szCs w:val="22"/>
                      <w:lang w:eastAsia="en-GB"/>
                    </w:rPr>
                  </w:pPr>
                  <w:r w:rsidRPr="00997B81">
                    <w:rPr>
                      <w:rFonts w:cs="Arial"/>
                      <w:b/>
                      <w:bCs/>
                      <w:color w:val="FFFFFF"/>
                      <w:sz w:val="22"/>
                      <w:szCs w:val="22"/>
                      <w:lang w:eastAsia="en-GB"/>
                    </w:rPr>
                    <w:t xml:space="preserve">2021/22 (%) </w:t>
                  </w:r>
                </w:p>
              </w:tc>
            </w:tr>
            <w:tr w:rsidR="005257BD" w:rsidRPr="00997B81" w14:paraId="32632512" w14:textId="77777777" w:rsidTr="00DA2F46">
              <w:tc>
                <w:tcPr>
                  <w:tcW w:w="2960" w:type="dxa"/>
                  <w:tcBorders>
                    <w:top w:val="single" w:sz="6" w:space="0" w:color="3C5A98"/>
                    <w:left w:val="single" w:sz="6" w:space="0" w:color="3C5A98"/>
                    <w:bottom w:val="single" w:sz="6" w:space="0" w:color="3C5A98"/>
                    <w:right w:val="single" w:sz="6" w:space="0" w:color="3C5A98"/>
                  </w:tcBorders>
                  <w:shd w:val="clear" w:color="auto" w:fill="FFFFFF"/>
                  <w:tcMar>
                    <w:top w:w="0" w:type="dxa"/>
                    <w:left w:w="105" w:type="dxa"/>
                    <w:bottom w:w="30" w:type="dxa"/>
                    <w:right w:w="105" w:type="dxa"/>
                  </w:tcMar>
                  <w:vAlign w:val="center"/>
                  <w:hideMark/>
                </w:tcPr>
                <w:p w14:paraId="4AD6BD54" w14:textId="77777777" w:rsidR="005257BD" w:rsidRPr="00997B81" w:rsidRDefault="005257BD" w:rsidP="00DA2F46">
                  <w:pPr>
                    <w:framePr w:hSpace="180" w:wrap="around" w:vAnchor="text" w:hAnchor="margin" w:xAlign="center" w:y="95"/>
                    <w:jc w:val="center"/>
                    <w:rPr>
                      <w:rFonts w:cs="Arial"/>
                      <w:color w:val="000000"/>
                      <w:sz w:val="22"/>
                      <w:szCs w:val="22"/>
                      <w:lang w:eastAsia="en-GB"/>
                    </w:rPr>
                  </w:pPr>
                  <w:r w:rsidRPr="00997B81">
                    <w:rPr>
                      <w:rFonts w:cs="Arial"/>
                      <w:color w:val="000000"/>
                      <w:sz w:val="22"/>
                      <w:szCs w:val="22"/>
                      <w:lang w:eastAsia="en-GB"/>
                    </w:rPr>
                    <w:t>Not in treatment (% is a point estimate)</w:t>
                  </w:r>
                </w:p>
              </w:tc>
              <w:tc>
                <w:tcPr>
                  <w:tcW w:w="1201" w:type="dxa"/>
                  <w:tcBorders>
                    <w:top w:val="single" w:sz="6" w:space="0" w:color="3C5A98"/>
                    <w:left w:val="single" w:sz="6" w:space="0" w:color="3C5A98"/>
                    <w:bottom w:val="single" w:sz="6" w:space="0" w:color="3C5A98"/>
                    <w:right w:val="single" w:sz="6" w:space="0" w:color="3C5A98"/>
                  </w:tcBorders>
                  <w:shd w:val="clear" w:color="auto" w:fill="FFFFFF"/>
                  <w:tcMar>
                    <w:top w:w="0" w:type="dxa"/>
                    <w:left w:w="105" w:type="dxa"/>
                    <w:bottom w:w="30" w:type="dxa"/>
                    <w:right w:w="105" w:type="dxa"/>
                  </w:tcMar>
                  <w:vAlign w:val="center"/>
                  <w:hideMark/>
                </w:tcPr>
                <w:p w14:paraId="2B2A1BE7" w14:textId="77777777" w:rsidR="005257BD" w:rsidRPr="00997B81" w:rsidRDefault="005257BD" w:rsidP="00DA2F46">
                  <w:pPr>
                    <w:framePr w:hSpace="180" w:wrap="around" w:vAnchor="text" w:hAnchor="margin" w:xAlign="center" w:y="95"/>
                    <w:jc w:val="center"/>
                    <w:rPr>
                      <w:rFonts w:cs="Arial"/>
                      <w:color w:val="000000"/>
                      <w:sz w:val="22"/>
                      <w:szCs w:val="22"/>
                      <w:lang w:eastAsia="en-GB"/>
                    </w:rPr>
                  </w:pPr>
                  <w:r w:rsidRPr="00997B81">
                    <w:rPr>
                      <w:rFonts w:cs="Arial"/>
                      <w:color w:val="000000"/>
                      <w:sz w:val="22"/>
                      <w:szCs w:val="22"/>
                      <w:lang w:eastAsia="en-GB"/>
                    </w:rPr>
                    <w:t>52</w:t>
                  </w:r>
                </w:p>
              </w:tc>
              <w:tc>
                <w:tcPr>
                  <w:tcW w:w="1201" w:type="dxa"/>
                  <w:tcBorders>
                    <w:top w:val="single" w:sz="6" w:space="0" w:color="3C5A98"/>
                    <w:left w:val="single" w:sz="6" w:space="0" w:color="3C5A98"/>
                    <w:bottom w:val="single" w:sz="6" w:space="0" w:color="3C5A98"/>
                    <w:right w:val="single" w:sz="6" w:space="0" w:color="3C5A98"/>
                  </w:tcBorders>
                  <w:shd w:val="clear" w:color="auto" w:fill="FFFFFF"/>
                  <w:tcMar>
                    <w:top w:w="0" w:type="dxa"/>
                    <w:left w:w="105" w:type="dxa"/>
                    <w:bottom w:w="30" w:type="dxa"/>
                    <w:right w:w="105" w:type="dxa"/>
                  </w:tcMar>
                  <w:vAlign w:val="center"/>
                  <w:hideMark/>
                </w:tcPr>
                <w:p w14:paraId="097D4556" w14:textId="77777777" w:rsidR="005257BD" w:rsidRPr="00997B81" w:rsidRDefault="005257BD" w:rsidP="00DA2F46">
                  <w:pPr>
                    <w:framePr w:hSpace="180" w:wrap="around" w:vAnchor="text" w:hAnchor="margin" w:xAlign="center" w:y="95"/>
                    <w:jc w:val="center"/>
                    <w:rPr>
                      <w:rFonts w:cs="Arial"/>
                      <w:color w:val="000000"/>
                      <w:sz w:val="22"/>
                      <w:szCs w:val="22"/>
                      <w:lang w:eastAsia="en-GB"/>
                    </w:rPr>
                  </w:pPr>
                  <w:r w:rsidRPr="00997B81">
                    <w:rPr>
                      <w:rFonts w:cs="Arial"/>
                      <w:color w:val="000000"/>
                      <w:sz w:val="22"/>
                      <w:szCs w:val="22"/>
                      <w:lang w:eastAsia="en-GB"/>
                    </w:rPr>
                    <w:t>53</w:t>
                  </w:r>
                </w:p>
              </w:tc>
              <w:tc>
                <w:tcPr>
                  <w:tcW w:w="1201" w:type="dxa"/>
                  <w:tcBorders>
                    <w:top w:val="single" w:sz="6" w:space="0" w:color="3C5A98"/>
                    <w:left w:val="single" w:sz="6" w:space="0" w:color="3C5A98"/>
                    <w:bottom w:val="single" w:sz="6" w:space="0" w:color="3C5A98"/>
                    <w:right w:val="single" w:sz="6" w:space="0" w:color="3C5A98"/>
                  </w:tcBorders>
                  <w:shd w:val="clear" w:color="auto" w:fill="FFFFFF"/>
                  <w:tcMar>
                    <w:top w:w="0" w:type="dxa"/>
                    <w:left w:w="105" w:type="dxa"/>
                    <w:bottom w:w="30" w:type="dxa"/>
                    <w:right w:w="105" w:type="dxa"/>
                  </w:tcMar>
                  <w:vAlign w:val="center"/>
                  <w:hideMark/>
                </w:tcPr>
                <w:p w14:paraId="25D9B49C" w14:textId="77777777" w:rsidR="005257BD" w:rsidRPr="00997B81" w:rsidRDefault="005257BD" w:rsidP="00DA2F46">
                  <w:pPr>
                    <w:framePr w:hSpace="180" w:wrap="around" w:vAnchor="text" w:hAnchor="margin" w:xAlign="center" w:y="95"/>
                    <w:jc w:val="center"/>
                    <w:rPr>
                      <w:rFonts w:cs="Arial"/>
                      <w:color w:val="000000"/>
                      <w:sz w:val="22"/>
                      <w:szCs w:val="22"/>
                      <w:lang w:eastAsia="en-GB"/>
                    </w:rPr>
                  </w:pPr>
                  <w:r w:rsidRPr="00997B81">
                    <w:rPr>
                      <w:rFonts w:cs="Arial"/>
                      <w:color w:val="000000"/>
                      <w:sz w:val="22"/>
                      <w:szCs w:val="22"/>
                      <w:lang w:eastAsia="en-GB"/>
                    </w:rPr>
                    <w:t>55</w:t>
                  </w:r>
                </w:p>
              </w:tc>
              <w:tc>
                <w:tcPr>
                  <w:tcW w:w="1201" w:type="dxa"/>
                  <w:tcBorders>
                    <w:top w:val="single" w:sz="6" w:space="0" w:color="3C5A98"/>
                    <w:left w:val="single" w:sz="6" w:space="0" w:color="3C5A98"/>
                    <w:bottom w:val="single" w:sz="6" w:space="0" w:color="3C5A98"/>
                    <w:right w:val="single" w:sz="6" w:space="0" w:color="3C5A98"/>
                  </w:tcBorders>
                  <w:shd w:val="clear" w:color="auto" w:fill="FFFFFF"/>
                  <w:tcMar>
                    <w:top w:w="0" w:type="dxa"/>
                    <w:left w:w="105" w:type="dxa"/>
                    <w:bottom w:w="30" w:type="dxa"/>
                    <w:right w:w="105" w:type="dxa"/>
                  </w:tcMar>
                  <w:vAlign w:val="center"/>
                  <w:hideMark/>
                </w:tcPr>
                <w:p w14:paraId="2BF27946" w14:textId="77777777" w:rsidR="005257BD" w:rsidRPr="00997B81" w:rsidRDefault="005257BD" w:rsidP="00DA2F46">
                  <w:pPr>
                    <w:framePr w:hSpace="180" w:wrap="around" w:vAnchor="text" w:hAnchor="margin" w:xAlign="center" w:y="95"/>
                    <w:jc w:val="center"/>
                    <w:rPr>
                      <w:rFonts w:cs="Arial"/>
                      <w:color w:val="000000"/>
                      <w:sz w:val="22"/>
                      <w:szCs w:val="22"/>
                      <w:lang w:eastAsia="en-GB"/>
                    </w:rPr>
                  </w:pPr>
                  <w:r w:rsidRPr="00997B81">
                    <w:rPr>
                      <w:rFonts w:cs="Arial"/>
                      <w:color w:val="000000"/>
                      <w:sz w:val="22"/>
                      <w:szCs w:val="22"/>
                      <w:lang w:eastAsia="en-GB"/>
                    </w:rPr>
                    <w:t>56</w:t>
                  </w:r>
                </w:p>
              </w:tc>
              <w:tc>
                <w:tcPr>
                  <w:tcW w:w="1201" w:type="dxa"/>
                  <w:tcBorders>
                    <w:top w:val="single" w:sz="6" w:space="0" w:color="3C5A98"/>
                    <w:left w:val="single" w:sz="6" w:space="0" w:color="3C5A98"/>
                    <w:bottom w:val="single" w:sz="6" w:space="0" w:color="3C5A98"/>
                    <w:right w:val="single" w:sz="6" w:space="0" w:color="3C5A98"/>
                  </w:tcBorders>
                  <w:shd w:val="clear" w:color="auto" w:fill="FFFFFF"/>
                  <w:tcMar>
                    <w:top w:w="0" w:type="dxa"/>
                    <w:left w:w="105" w:type="dxa"/>
                    <w:bottom w:w="30" w:type="dxa"/>
                    <w:right w:w="105" w:type="dxa"/>
                  </w:tcMar>
                  <w:vAlign w:val="center"/>
                  <w:hideMark/>
                </w:tcPr>
                <w:p w14:paraId="1023398A" w14:textId="77777777" w:rsidR="005257BD" w:rsidRPr="00997B81" w:rsidRDefault="005257BD" w:rsidP="00DA2F46">
                  <w:pPr>
                    <w:framePr w:hSpace="180" w:wrap="around" w:vAnchor="text" w:hAnchor="margin" w:xAlign="center" w:y="95"/>
                    <w:jc w:val="center"/>
                    <w:rPr>
                      <w:rFonts w:cs="Arial"/>
                      <w:color w:val="000000"/>
                      <w:sz w:val="22"/>
                      <w:szCs w:val="22"/>
                      <w:lang w:eastAsia="en-GB"/>
                    </w:rPr>
                  </w:pPr>
                  <w:r w:rsidRPr="00997B81">
                    <w:rPr>
                      <w:rFonts w:cs="Arial"/>
                      <w:color w:val="000000"/>
                      <w:sz w:val="22"/>
                      <w:szCs w:val="22"/>
                      <w:lang w:eastAsia="en-GB"/>
                    </w:rPr>
                    <w:t>-</w:t>
                  </w:r>
                </w:p>
              </w:tc>
            </w:tr>
            <w:tr w:rsidR="005257BD" w:rsidRPr="00997B81" w14:paraId="70DC8A5C" w14:textId="77777777" w:rsidTr="00DA2F46">
              <w:tc>
                <w:tcPr>
                  <w:tcW w:w="2960" w:type="dxa"/>
                  <w:tcBorders>
                    <w:top w:val="single" w:sz="6" w:space="0" w:color="3C5A98"/>
                    <w:left w:val="single" w:sz="6" w:space="0" w:color="3C5A98"/>
                    <w:bottom w:val="single" w:sz="6" w:space="0" w:color="3C5A98"/>
                    <w:right w:val="single" w:sz="6" w:space="0" w:color="3C5A98"/>
                  </w:tcBorders>
                  <w:shd w:val="clear" w:color="auto" w:fill="FFFFFF"/>
                  <w:tcMar>
                    <w:top w:w="0" w:type="dxa"/>
                    <w:left w:w="105" w:type="dxa"/>
                    <w:bottom w:w="30" w:type="dxa"/>
                    <w:right w:w="105" w:type="dxa"/>
                  </w:tcMar>
                  <w:vAlign w:val="center"/>
                  <w:hideMark/>
                </w:tcPr>
                <w:p w14:paraId="2091F763" w14:textId="77777777" w:rsidR="005257BD" w:rsidRPr="00997B81" w:rsidRDefault="005257BD" w:rsidP="00DA2F46">
                  <w:pPr>
                    <w:framePr w:hSpace="180" w:wrap="around" w:vAnchor="text" w:hAnchor="margin" w:xAlign="center" w:y="95"/>
                    <w:jc w:val="center"/>
                    <w:rPr>
                      <w:rFonts w:cs="Arial"/>
                      <w:color w:val="000000"/>
                      <w:sz w:val="22"/>
                      <w:szCs w:val="22"/>
                      <w:lang w:eastAsia="en-GB"/>
                    </w:rPr>
                  </w:pPr>
                  <w:r w:rsidRPr="00997B81">
                    <w:rPr>
                      <w:rFonts w:cs="Arial"/>
                      <w:color w:val="000000"/>
                      <w:sz w:val="22"/>
                      <w:szCs w:val="22"/>
                      <w:lang w:eastAsia="en-GB"/>
                    </w:rPr>
                    <w:t>In treatment (% is derived from a point estimate)</w:t>
                  </w:r>
                </w:p>
              </w:tc>
              <w:tc>
                <w:tcPr>
                  <w:tcW w:w="1201" w:type="dxa"/>
                  <w:tcBorders>
                    <w:top w:val="single" w:sz="6" w:space="0" w:color="3C5A98"/>
                    <w:left w:val="single" w:sz="6" w:space="0" w:color="3C5A98"/>
                    <w:bottom w:val="single" w:sz="6" w:space="0" w:color="3C5A98"/>
                    <w:right w:val="single" w:sz="6" w:space="0" w:color="3C5A98"/>
                  </w:tcBorders>
                  <w:shd w:val="clear" w:color="auto" w:fill="FFFFFF"/>
                  <w:tcMar>
                    <w:top w:w="0" w:type="dxa"/>
                    <w:left w:w="105" w:type="dxa"/>
                    <w:bottom w:w="30" w:type="dxa"/>
                    <w:right w:w="105" w:type="dxa"/>
                  </w:tcMar>
                  <w:vAlign w:val="center"/>
                  <w:hideMark/>
                </w:tcPr>
                <w:p w14:paraId="1ACC4E42" w14:textId="77777777" w:rsidR="005257BD" w:rsidRPr="00997B81" w:rsidRDefault="005257BD" w:rsidP="00DA2F46">
                  <w:pPr>
                    <w:framePr w:hSpace="180" w:wrap="around" w:vAnchor="text" w:hAnchor="margin" w:xAlign="center" w:y="95"/>
                    <w:jc w:val="center"/>
                    <w:rPr>
                      <w:rFonts w:cs="Arial"/>
                      <w:color w:val="000000"/>
                      <w:sz w:val="22"/>
                      <w:szCs w:val="22"/>
                      <w:lang w:eastAsia="en-GB"/>
                    </w:rPr>
                  </w:pPr>
                  <w:r w:rsidRPr="00997B81">
                    <w:rPr>
                      <w:rFonts w:cs="Arial"/>
                      <w:color w:val="000000"/>
                      <w:sz w:val="22"/>
                      <w:szCs w:val="22"/>
                      <w:lang w:eastAsia="en-GB"/>
                    </w:rPr>
                    <w:t>48</w:t>
                  </w:r>
                </w:p>
              </w:tc>
              <w:tc>
                <w:tcPr>
                  <w:tcW w:w="1201" w:type="dxa"/>
                  <w:tcBorders>
                    <w:top w:val="single" w:sz="6" w:space="0" w:color="3C5A98"/>
                    <w:left w:val="single" w:sz="6" w:space="0" w:color="3C5A98"/>
                    <w:bottom w:val="single" w:sz="6" w:space="0" w:color="3C5A98"/>
                    <w:right w:val="single" w:sz="6" w:space="0" w:color="3C5A98"/>
                  </w:tcBorders>
                  <w:shd w:val="clear" w:color="auto" w:fill="FFFFFF"/>
                  <w:tcMar>
                    <w:top w:w="0" w:type="dxa"/>
                    <w:left w:w="105" w:type="dxa"/>
                    <w:bottom w:w="30" w:type="dxa"/>
                    <w:right w:w="105" w:type="dxa"/>
                  </w:tcMar>
                  <w:vAlign w:val="center"/>
                  <w:hideMark/>
                </w:tcPr>
                <w:p w14:paraId="2AE303C8" w14:textId="77777777" w:rsidR="005257BD" w:rsidRPr="00997B81" w:rsidRDefault="005257BD" w:rsidP="00DA2F46">
                  <w:pPr>
                    <w:framePr w:hSpace="180" w:wrap="around" w:vAnchor="text" w:hAnchor="margin" w:xAlign="center" w:y="95"/>
                    <w:jc w:val="center"/>
                    <w:rPr>
                      <w:rFonts w:cs="Arial"/>
                      <w:color w:val="000000"/>
                      <w:sz w:val="22"/>
                      <w:szCs w:val="22"/>
                      <w:lang w:eastAsia="en-GB"/>
                    </w:rPr>
                  </w:pPr>
                  <w:r w:rsidRPr="00997B81">
                    <w:rPr>
                      <w:rFonts w:cs="Arial"/>
                      <w:color w:val="000000"/>
                      <w:sz w:val="22"/>
                      <w:szCs w:val="22"/>
                      <w:lang w:eastAsia="en-GB"/>
                    </w:rPr>
                    <w:t>47</w:t>
                  </w:r>
                </w:p>
              </w:tc>
              <w:tc>
                <w:tcPr>
                  <w:tcW w:w="1201" w:type="dxa"/>
                  <w:tcBorders>
                    <w:top w:val="single" w:sz="6" w:space="0" w:color="3C5A98"/>
                    <w:left w:val="single" w:sz="6" w:space="0" w:color="3C5A98"/>
                    <w:bottom w:val="single" w:sz="6" w:space="0" w:color="3C5A98"/>
                    <w:right w:val="single" w:sz="6" w:space="0" w:color="3C5A98"/>
                  </w:tcBorders>
                  <w:shd w:val="clear" w:color="auto" w:fill="FFFFFF"/>
                  <w:tcMar>
                    <w:top w:w="0" w:type="dxa"/>
                    <w:left w:w="105" w:type="dxa"/>
                    <w:bottom w:w="30" w:type="dxa"/>
                    <w:right w:w="105" w:type="dxa"/>
                  </w:tcMar>
                  <w:vAlign w:val="center"/>
                  <w:hideMark/>
                </w:tcPr>
                <w:p w14:paraId="6214E646" w14:textId="77777777" w:rsidR="005257BD" w:rsidRPr="00997B81" w:rsidRDefault="005257BD" w:rsidP="00DA2F46">
                  <w:pPr>
                    <w:framePr w:hSpace="180" w:wrap="around" w:vAnchor="text" w:hAnchor="margin" w:xAlign="center" w:y="95"/>
                    <w:jc w:val="center"/>
                    <w:rPr>
                      <w:rFonts w:cs="Arial"/>
                      <w:color w:val="000000"/>
                      <w:sz w:val="22"/>
                      <w:szCs w:val="22"/>
                      <w:lang w:eastAsia="en-GB"/>
                    </w:rPr>
                  </w:pPr>
                  <w:r w:rsidRPr="00997B81">
                    <w:rPr>
                      <w:rFonts w:cs="Arial"/>
                      <w:color w:val="000000"/>
                      <w:sz w:val="22"/>
                      <w:szCs w:val="22"/>
                      <w:lang w:eastAsia="en-GB"/>
                    </w:rPr>
                    <w:t>45</w:t>
                  </w:r>
                </w:p>
              </w:tc>
              <w:tc>
                <w:tcPr>
                  <w:tcW w:w="1201" w:type="dxa"/>
                  <w:tcBorders>
                    <w:top w:val="single" w:sz="6" w:space="0" w:color="3C5A98"/>
                    <w:left w:val="single" w:sz="6" w:space="0" w:color="3C5A98"/>
                    <w:bottom w:val="single" w:sz="6" w:space="0" w:color="3C5A98"/>
                    <w:right w:val="single" w:sz="6" w:space="0" w:color="3C5A98"/>
                  </w:tcBorders>
                  <w:shd w:val="clear" w:color="auto" w:fill="FFFFFF"/>
                  <w:tcMar>
                    <w:top w:w="0" w:type="dxa"/>
                    <w:left w:w="105" w:type="dxa"/>
                    <w:bottom w:w="30" w:type="dxa"/>
                    <w:right w:w="105" w:type="dxa"/>
                  </w:tcMar>
                  <w:vAlign w:val="center"/>
                  <w:hideMark/>
                </w:tcPr>
                <w:p w14:paraId="56D2E45E" w14:textId="77777777" w:rsidR="005257BD" w:rsidRPr="00997B81" w:rsidRDefault="005257BD" w:rsidP="00DA2F46">
                  <w:pPr>
                    <w:framePr w:hSpace="180" w:wrap="around" w:vAnchor="text" w:hAnchor="margin" w:xAlign="center" w:y="95"/>
                    <w:jc w:val="center"/>
                    <w:rPr>
                      <w:rFonts w:cs="Arial"/>
                      <w:color w:val="000000"/>
                      <w:sz w:val="22"/>
                      <w:szCs w:val="22"/>
                      <w:lang w:eastAsia="en-GB"/>
                    </w:rPr>
                  </w:pPr>
                  <w:r w:rsidRPr="00997B81">
                    <w:rPr>
                      <w:rFonts w:cs="Arial"/>
                      <w:color w:val="000000"/>
                      <w:sz w:val="22"/>
                      <w:szCs w:val="22"/>
                      <w:lang w:eastAsia="en-GB"/>
                    </w:rPr>
                    <w:t>44</w:t>
                  </w:r>
                </w:p>
              </w:tc>
              <w:tc>
                <w:tcPr>
                  <w:tcW w:w="1201" w:type="dxa"/>
                  <w:tcBorders>
                    <w:top w:val="single" w:sz="6" w:space="0" w:color="3C5A98"/>
                    <w:left w:val="single" w:sz="6" w:space="0" w:color="3C5A98"/>
                    <w:bottom w:val="single" w:sz="6" w:space="0" w:color="3C5A98"/>
                    <w:right w:val="single" w:sz="6" w:space="0" w:color="3C5A98"/>
                  </w:tcBorders>
                  <w:shd w:val="clear" w:color="auto" w:fill="FFFFFF"/>
                  <w:tcMar>
                    <w:top w:w="0" w:type="dxa"/>
                    <w:left w:w="105" w:type="dxa"/>
                    <w:bottom w:w="30" w:type="dxa"/>
                    <w:right w:w="105" w:type="dxa"/>
                  </w:tcMar>
                  <w:vAlign w:val="center"/>
                  <w:hideMark/>
                </w:tcPr>
                <w:p w14:paraId="738FDB4A" w14:textId="77777777" w:rsidR="005257BD" w:rsidRPr="00997B81" w:rsidRDefault="005257BD" w:rsidP="00DA2F46">
                  <w:pPr>
                    <w:framePr w:hSpace="180" w:wrap="around" w:vAnchor="text" w:hAnchor="margin" w:xAlign="center" w:y="95"/>
                    <w:jc w:val="center"/>
                    <w:rPr>
                      <w:rFonts w:cs="Arial"/>
                      <w:color w:val="000000"/>
                      <w:sz w:val="22"/>
                      <w:szCs w:val="22"/>
                      <w:lang w:eastAsia="en-GB"/>
                    </w:rPr>
                  </w:pPr>
                  <w:r w:rsidRPr="00997B81">
                    <w:rPr>
                      <w:rFonts w:cs="Arial"/>
                      <w:color w:val="000000"/>
                      <w:sz w:val="22"/>
                      <w:szCs w:val="22"/>
                      <w:lang w:eastAsia="en-GB"/>
                    </w:rPr>
                    <w:t>-</w:t>
                  </w:r>
                </w:p>
              </w:tc>
            </w:tr>
          </w:tbl>
          <w:p w14:paraId="57B4DB97" w14:textId="77777777" w:rsidR="005257BD" w:rsidRPr="00997B81" w:rsidRDefault="005257BD" w:rsidP="00DA2F46">
            <w:pPr>
              <w:rPr>
                <w:rFonts w:cs="Arial"/>
                <w:bCs/>
                <w:sz w:val="22"/>
                <w:szCs w:val="22"/>
              </w:rPr>
            </w:pPr>
          </w:p>
          <w:p w14:paraId="5059068C" w14:textId="77777777" w:rsidR="005257BD" w:rsidRPr="00997B81" w:rsidRDefault="005257BD" w:rsidP="00DA2F46">
            <w:pPr>
              <w:rPr>
                <w:rFonts w:cs="Arial"/>
                <w:bCs/>
                <w:sz w:val="22"/>
                <w:szCs w:val="22"/>
              </w:rPr>
            </w:pPr>
            <w:r w:rsidRPr="00997B81">
              <w:rPr>
                <w:rFonts w:cs="Arial"/>
                <w:bCs/>
                <w:sz w:val="22"/>
                <w:szCs w:val="22"/>
              </w:rPr>
              <w:lastRenderedPageBreak/>
              <w:t xml:space="preserve">Unmet need data across OCU in Knowsley provides prevalence estimates </w:t>
            </w:r>
            <w:r w:rsidRPr="00997B81">
              <w:rPr>
                <w:rFonts w:cs="Arial"/>
                <w:color w:val="000000"/>
                <w:sz w:val="22"/>
                <w:szCs w:val="22"/>
                <w:shd w:val="clear" w:color="auto" w:fill="FFFFFF"/>
              </w:rPr>
              <w:t>of the number of opiate and/or crack users that are in need of specialist treatment and the rate of unmet need gives the proportion of those not currently in treatment. Prevalence data of OCU users past 2016/17 are not available yet the rate of unmet need figures between 2017/2018 -2020-21 have been estimated using the available OCU 2016/17 prevalence estimates.</w:t>
            </w:r>
          </w:p>
          <w:p w14:paraId="025D08C6" w14:textId="77777777" w:rsidR="005257BD" w:rsidRPr="00997B81" w:rsidRDefault="005257BD" w:rsidP="00DA2F46">
            <w:pPr>
              <w:rPr>
                <w:rFonts w:cs="Arial"/>
                <w:b/>
                <w:sz w:val="22"/>
                <w:szCs w:val="22"/>
              </w:rPr>
            </w:pPr>
            <w:r w:rsidRPr="00997B81">
              <w:rPr>
                <w:rFonts w:cs="Arial"/>
                <w:b/>
                <w:sz w:val="22"/>
                <w:szCs w:val="22"/>
              </w:rPr>
              <w:t>Currently, in Knowsley injecting behaviour as of 2021/22 is as follows:</w:t>
            </w:r>
          </w:p>
          <w:p w14:paraId="46263439" w14:textId="77777777" w:rsidR="005257BD" w:rsidRPr="00997B81" w:rsidRDefault="005257BD" w:rsidP="00DA2F46">
            <w:pPr>
              <w:rPr>
                <w:rFonts w:cs="Arial"/>
                <w:bCs/>
                <w:sz w:val="22"/>
                <w:szCs w:val="22"/>
              </w:rPr>
            </w:pPr>
          </w:p>
          <w:tbl>
            <w:tblPr>
              <w:tblStyle w:val="TableGrid"/>
              <w:tblW w:w="0" w:type="auto"/>
              <w:tblInd w:w="817" w:type="dxa"/>
              <w:tblLayout w:type="fixed"/>
              <w:tblLook w:val="04A0" w:firstRow="1" w:lastRow="0" w:firstColumn="1" w:lastColumn="0" w:noHBand="0" w:noVBand="1"/>
            </w:tblPr>
            <w:tblGrid>
              <w:gridCol w:w="2961"/>
              <w:gridCol w:w="2268"/>
              <w:gridCol w:w="2268"/>
            </w:tblGrid>
            <w:tr w:rsidR="005257BD" w:rsidRPr="00997B81" w14:paraId="34C89886" w14:textId="77777777" w:rsidTr="00DA2F46">
              <w:tc>
                <w:tcPr>
                  <w:tcW w:w="7497" w:type="dxa"/>
                  <w:gridSpan w:val="3"/>
                  <w:shd w:val="clear" w:color="auto" w:fill="E7E6E6" w:themeFill="background2"/>
                </w:tcPr>
                <w:p w14:paraId="42AE5390" w14:textId="77777777" w:rsidR="005257BD" w:rsidRPr="00997B81" w:rsidRDefault="005257BD" w:rsidP="00DA2F46">
                  <w:pPr>
                    <w:framePr w:hSpace="180" w:wrap="around" w:vAnchor="text" w:hAnchor="margin" w:xAlign="center" w:y="95"/>
                    <w:jc w:val="center"/>
                    <w:rPr>
                      <w:rFonts w:cs="Arial"/>
                      <w:b/>
                      <w:sz w:val="22"/>
                      <w:szCs w:val="22"/>
                      <w:u w:val="single"/>
                    </w:rPr>
                  </w:pPr>
                  <w:r w:rsidRPr="00997B81">
                    <w:rPr>
                      <w:rFonts w:cs="Arial"/>
                      <w:b/>
                      <w:sz w:val="22"/>
                      <w:szCs w:val="22"/>
                      <w:u w:val="single"/>
                    </w:rPr>
                    <w:t>Injecting Behaviour as a proportion of those in treatment</w:t>
                  </w:r>
                </w:p>
              </w:tc>
            </w:tr>
            <w:tr w:rsidR="005257BD" w:rsidRPr="00997B81" w14:paraId="76BEA024" w14:textId="77777777" w:rsidTr="00DA2F46">
              <w:tc>
                <w:tcPr>
                  <w:tcW w:w="2961" w:type="dxa"/>
                </w:tcPr>
                <w:p w14:paraId="0E902506" w14:textId="77777777" w:rsidR="005257BD" w:rsidRPr="00997B81" w:rsidRDefault="005257BD" w:rsidP="00DA2F46">
                  <w:pPr>
                    <w:framePr w:hSpace="180" w:wrap="around" w:vAnchor="text" w:hAnchor="margin" w:xAlign="center" w:y="95"/>
                    <w:rPr>
                      <w:rFonts w:cs="Arial"/>
                      <w:bCs/>
                      <w:sz w:val="22"/>
                      <w:szCs w:val="22"/>
                    </w:rPr>
                  </w:pPr>
                </w:p>
              </w:tc>
              <w:tc>
                <w:tcPr>
                  <w:tcW w:w="2268" w:type="dxa"/>
                  <w:shd w:val="clear" w:color="auto" w:fill="D5DCE4" w:themeFill="text2" w:themeFillTint="33"/>
                </w:tcPr>
                <w:p w14:paraId="4AE91093" w14:textId="77777777" w:rsidR="005257BD" w:rsidRPr="00997B81" w:rsidRDefault="005257BD" w:rsidP="00DA2F46">
                  <w:pPr>
                    <w:framePr w:hSpace="180" w:wrap="around" w:vAnchor="text" w:hAnchor="margin" w:xAlign="center" w:y="95"/>
                    <w:rPr>
                      <w:rFonts w:cs="Arial"/>
                      <w:bCs/>
                      <w:sz w:val="22"/>
                      <w:szCs w:val="22"/>
                      <w:u w:val="single"/>
                    </w:rPr>
                  </w:pPr>
                  <w:r w:rsidRPr="00997B81">
                    <w:rPr>
                      <w:rFonts w:cs="Arial"/>
                      <w:bCs/>
                      <w:sz w:val="22"/>
                      <w:szCs w:val="22"/>
                      <w:u w:val="single"/>
                    </w:rPr>
                    <w:t>Knowsley (%)</w:t>
                  </w:r>
                </w:p>
              </w:tc>
              <w:tc>
                <w:tcPr>
                  <w:tcW w:w="2268" w:type="dxa"/>
                  <w:shd w:val="clear" w:color="auto" w:fill="ACB9CA" w:themeFill="text2" w:themeFillTint="66"/>
                </w:tcPr>
                <w:p w14:paraId="6A2DB67C" w14:textId="77777777" w:rsidR="005257BD" w:rsidRPr="00997B81" w:rsidRDefault="005257BD" w:rsidP="00DA2F46">
                  <w:pPr>
                    <w:framePr w:hSpace="180" w:wrap="around" w:vAnchor="text" w:hAnchor="margin" w:xAlign="center" w:y="95"/>
                    <w:jc w:val="center"/>
                    <w:rPr>
                      <w:rFonts w:cs="Arial"/>
                      <w:bCs/>
                      <w:sz w:val="22"/>
                      <w:szCs w:val="22"/>
                      <w:u w:val="single"/>
                    </w:rPr>
                  </w:pPr>
                  <w:r w:rsidRPr="00997B81">
                    <w:rPr>
                      <w:rFonts w:cs="Arial"/>
                      <w:bCs/>
                      <w:sz w:val="22"/>
                      <w:szCs w:val="22"/>
                      <w:u w:val="single"/>
                    </w:rPr>
                    <w:t>England (%)</w:t>
                  </w:r>
                </w:p>
              </w:tc>
            </w:tr>
            <w:tr w:rsidR="005257BD" w:rsidRPr="00997B81" w14:paraId="283348BF" w14:textId="77777777" w:rsidTr="00DA2F46">
              <w:tc>
                <w:tcPr>
                  <w:tcW w:w="2961" w:type="dxa"/>
                </w:tcPr>
                <w:p w14:paraId="0A1270E7" w14:textId="77777777" w:rsidR="005257BD" w:rsidRPr="00997B81" w:rsidRDefault="005257BD" w:rsidP="00DA2F46">
                  <w:pPr>
                    <w:framePr w:hSpace="180" w:wrap="around" w:vAnchor="text" w:hAnchor="margin" w:xAlign="center" w:y="95"/>
                    <w:rPr>
                      <w:rFonts w:cs="Arial"/>
                      <w:b/>
                      <w:bCs/>
                      <w:sz w:val="22"/>
                      <w:szCs w:val="22"/>
                    </w:rPr>
                  </w:pPr>
                  <w:r w:rsidRPr="00997B81">
                    <w:rPr>
                      <w:rFonts w:cs="Arial"/>
                      <w:b/>
                      <w:bCs/>
                      <w:sz w:val="22"/>
                      <w:szCs w:val="22"/>
                    </w:rPr>
                    <w:t>Never previously injected:</w:t>
                  </w:r>
                </w:p>
              </w:tc>
              <w:tc>
                <w:tcPr>
                  <w:tcW w:w="2268" w:type="dxa"/>
                  <w:shd w:val="clear" w:color="auto" w:fill="D5DCE4" w:themeFill="text2" w:themeFillTint="33"/>
                </w:tcPr>
                <w:p w14:paraId="00821015" w14:textId="77777777" w:rsidR="005257BD" w:rsidRPr="00997B81" w:rsidRDefault="005257BD" w:rsidP="00DA2F46">
                  <w:pPr>
                    <w:framePr w:hSpace="180" w:wrap="around" w:vAnchor="text" w:hAnchor="margin" w:xAlign="center" w:y="95"/>
                    <w:jc w:val="center"/>
                    <w:rPr>
                      <w:rFonts w:cs="Arial"/>
                      <w:bCs/>
                      <w:sz w:val="22"/>
                      <w:szCs w:val="22"/>
                    </w:rPr>
                  </w:pPr>
                  <w:r w:rsidRPr="00997B81">
                    <w:rPr>
                      <w:rFonts w:cs="Arial"/>
                      <w:bCs/>
                      <w:sz w:val="22"/>
                      <w:szCs w:val="22"/>
                    </w:rPr>
                    <w:t>90</w:t>
                  </w:r>
                </w:p>
              </w:tc>
              <w:tc>
                <w:tcPr>
                  <w:tcW w:w="2268" w:type="dxa"/>
                  <w:shd w:val="clear" w:color="auto" w:fill="ACB9CA" w:themeFill="text2" w:themeFillTint="66"/>
                </w:tcPr>
                <w:p w14:paraId="18AFB805" w14:textId="77777777" w:rsidR="005257BD" w:rsidRPr="00997B81" w:rsidRDefault="005257BD" w:rsidP="00DA2F46">
                  <w:pPr>
                    <w:framePr w:hSpace="180" w:wrap="around" w:vAnchor="text" w:hAnchor="margin" w:xAlign="center" w:y="95"/>
                    <w:jc w:val="center"/>
                    <w:rPr>
                      <w:rFonts w:cs="Arial"/>
                      <w:bCs/>
                      <w:sz w:val="22"/>
                      <w:szCs w:val="22"/>
                    </w:rPr>
                  </w:pPr>
                  <w:r w:rsidRPr="00997B81">
                    <w:rPr>
                      <w:rFonts w:cs="Arial"/>
                      <w:bCs/>
                      <w:sz w:val="22"/>
                      <w:szCs w:val="22"/>
                    </w:rPr>
                    <w:t>83</w:t>
                  </w:r>
                </w:p>
              </w:tc>
            </w:tr>
            <w:tr w:rsidR="005257BD" w:rsidRPr="00997B81" w14:paraId="0546E072" w14:textId="77777777" w:rsidTr="00DA2F46">
              <w:tc>
                <w:tcPr>
                  <w:tcW w:w="2961" w:type="dxa"/>
                </w:tcPr>
                <w:p w14:paraId="527A9DD1" w14:textId="77777777" w:rsidR="005257BD" w:rsidRPr="00997B81" w:rsidRDefault="005257BD" w:rsidP="00DA2F46">
                  <w:pPr>
                    <w:framePr w:hSpace="180" w:wrap="around" w:vAnchor="text" w:hAnchor="margin" w:xAlign="center" w:y="95"/>
                    <w:rPr>
                      <w:rFonts w:cs="Arial"/>
                      <w:b/>
                      <w:bCs/>
                      <w:sz w:val="22"/>
                      <w:szCs w:val="22"/>
                    </w:rPr>
                  </w:pPr>
                  <w:r w:rsidRPr="00997B81">
                    <w:rPr>
                      <w:rFonts w:cs="Arial"/>
                      <w:b/>
                      <w:bCs/>
                      <w:sz w:val="22"/>
                      <w:szCs w:val="22"/>
                    </w:rPr>
                    <w:t>Previously injected</w:t>
                  </w:r>
                </w:p>
              </w:tc>
              <w:tc>
                <w:tcPr>
                  <w:tcW w:w="2268" w:type="dxa"/>
                  <w:shd w:val="clear" w:color="auto" w:fill="D5DCE4" w:themeFill="text2" w:themeFillTint="33"/>
                </w:tcPr>
                <w:p w14:paraId="450535A0" w14:textId="77777777" w:rsidR="005257BD" w:rsidRPr="00997B81" w:rsidRDefault="005257BD" w:rsidP="00DA2F46">
                  <w:pPr>
                    <w:framePr w:hSpace="180" w:wrap="around" w:vAnchor="text" w:hAnchor="margin" w:xAlign="center" w:y="95"/>
                    <w:jc w:val="center"/>
                    <w:rPr>
                      <w:rFonts w:cs="Arial"/>
                      <w:bCs/>
                      <w:sz w:val="22"/>
                      <w:szCs w:val="22"/>
                    </w:rPr>
                  </w:pPr>
                  <w:r w:rsidRPr="00997B81">
                    <w:rPr>
                      <w:rFonts w:cs="Arial"/>
                      <w:bCs/>
                      <w:sz w:val="22"/>
                      <w:szCs w:val="22"/>
                    </w:rPr>
                    <w:t>7</w:t>
                  </w:r>
                </w:p>
              </w:tc>
              <w:tc>
                <w:tcPr>
                  <w:tcW w:w="2268" w:type="dxa"/>
                  <w:shd w:val="clear" w:color="auto" w:fill="ACB9CA" w:themeFill="text2" w:themeFillTint="66"/>
                </w:tcPr>
                <w:p w14:paraId="73E7236C" w14:textId="77777777" w:rsidR="005257BD" w:rsidRPr="00997B81" w:rsidRDefault="005257BD" w:rsidP="00DA2F46">
                  <w:pPr>
                    <w:framePr w:hSpace="180" w:wrap="around" w:vAnchor="text" w:hAnchor="margin" w:xAlign="center" w:y="95"/>
                    <w:jc w:val="center"/>
                    <w:rPr>
                      <w:rFonts w:cs="Arial"/>
                      <w:bCs/>
                      <w:sz w:val="22"/>
                      <w:szCs w:val="22"/>
                    </w:rPr>
                  </w:pPr>
                  <w:r w:rsidRPr="00997B81">
                    <w:rPr>
                      <w:rFonts w:cs="Arial"/>
                      <w:bCs/>
                      <w:sz w:val="22"/>
                      <w:szCs w:val="22"/>
                    </w:rPr>
                    <w:t>11</w:t>
                  </w:r>
                </w:p>
              </w:tc>
            </w:tr>
            <w:tr w:rsidR="005257BD" w:rsidRPr="00997B81" w14:paraId="6CF682E4" w14:textId="77777777" w:rsidTr="00DA2F46">
              <w:tc>
                <w:tcPr>
                  <w:tcW w:w="2961" w:type="dxa"/>
                </w:tcPr>
                <w:p w14:paraId="0B1D32C9" w14:textId="77777777" w:rsidR="005257BD" w:rsidRPr="00997B81" w:rsidRDefault="005257BD" w:rsidP="00DA2F46">
                  <w:pPr>
                    <w:framePr w:hSpace="180" w:wrap="around" w:vAnchor="text" w:hAnchor="margin" w:xAlign="center" w:y="95"/>
                    <w:rPr>
                      <w:rFonts w:cs="Arial"/>
                      <w:b/>
                      <w:bCs/>
                      <w:sz w:val="22"/>
                      <w:szCs w:val="22"/>
                    </w:rPr>
                  </w:pPr>
                  <w:r w:rsidRPr="00997B81">
                    <w:rPr>
                      <w:rFonts w:cs="Arial"/>
                      <w:b/>
                      <w:bCs/>
                      <w:sz w:val="22"/>
                      <w:szCs w:val="22"/>
                    </w:rPr>
                    <w:t>Currently injecting</w:t>
                  </w:r>
                </w:p>
              </w:tc>
              <w:tc>
                <w:tcPr>
                  <w:tcW w:w="2268" w:type="dxa"/>
                  <w:shd w:val="clear" w:color="auto" w:fill="D5DCE4" w:themeFill="text2" w:themeFillTint="33"/>
                </w:tcPr>
                <w:p w14:paraId="7A31F36D" w14:textId="77777777" w:rsidR="005257BD" w:rsidRPr="00997B81" w:rsidRDefault="005257BD" w:rsidP="00DA2F46">
                  <w:pPr>
                    <w:framePr w:hSpace="180" w:wrap="around" w:vAnchor="text" w:hAnchor="margin" w:xAlign="center" w:y="95"/>
                    <w:jc w:val="center"/>
                    <w:rPr>
                      <w:rFonts w:cs="Arial"/>
                      <w:bCs/>
                      <w:sz w:val="22"/>
                      <w:szCs w:val="22"/>
                    </w:rPr>
                  </w:pPr>
                  <w:r w:rsidRPr="00997B81">
                    <w:rPr>
                      <w:rFonts w:cs="Arial"/>
                      <w:bCs/>
                      <w:sz w:val="22"/>
                      <w:szCs w:val="22"/>
                    </w:rPr>
                    <w:t>3</w:t>
                  </w:r>
                </w:p>
              </w:tc>
              <w:tc>
                <w:tcPr>
                  <w:tcW w:w="2268" w:type="dxa"/>
                  <w:shd w:val="clear" w:color="auto" w:fill="ACB9CA" w:themeFill="text2" w:themeFillTint="66"/>
                </w:tcPr>
                <w:p w14:paraId="69549574" w14:textId="77777777" w:rsidR="005257BD" w:rsidRPr="00997B81" w:rsidRDefault="005257BD" w:rsidP="00DA2F46">
                  <w:pPr>
                    <w:framePr w:hSpace="180" w:wrap="around" w:vAnchor="text" w:hAnchor="margin" w:xAlign="center" w:y="95"/>
                    <w:jc w:val="center"/>
                    <w:rPr>
                      <w:rFonts w:cs="Arial"/>
                      <w:bCs/>
                      <w:sz w:val="22"/>
                      <w:szCs w:val="22"/>
                    </w:rPr>
                  </w:pPr>
                  <w:r w:rsidRPr="00997B81">
                    <w:rPr>
                      <w:rFonts w:cs="Arial"/>
                      <w:bCs/>
                      <w:sz w:val="22"/>
                      <w:szCs w:val="22"/>
                    </w:rPr>
                    <w:t>6</w:t>
                  </w:r>
                </w:p>
              </w:tc>
            </w:tr>
          </w:tbl>
          <w:p w14:paraId="4808596B" w14:textId="77777777" w:rsidR="005257BD" w:rsidRPr="00997B81" w:rsidRDefault="005257BD" w:rsidP="00DA2F46">
            <w:pPr>
              <w:rPr>
                <w:rFonts w:cs="Arial"/>
                <w:bCs/>
                <w:sz w:val="22"/>
                <w:szCs w:val="22"/>
              </w:rPr>
            </w:pPr>
          </w:p>
          <w:p w14:paraId="035B29A1" w14:textId="77777777" w:rsidR="005257BD" w:rsidRPr="00997B81" w:rsidRDefault="005257BD" w:rsidP="00DA2F46">
            <w:pPr>
              <w:rPr>
                <w:rFonts w:cs="Arial"/>
                <w:bCs/>
                <w:i/>
                <w:iCs/>
                <w:sz w:val="22"/>
                <w:szCs w:val="22"/>
              </w:rPr>
            </w:pPr>
            <w:r w:rsidRPr="00997B81">
              <w:rPr>
                <w:rFonts w:cs="Arial"/>
                <w:bCs/>
                <w:i/>
                <w:iCs/>
                <w:sz w:val="22"/>
                <w:szCs w:val="22"/>
              </w:rPr>
              <w:t>Source: NDTMS</w:t>
            </w:r>
          </w:p>
          <w:p w14:paraId="5B58AB1A" w14:textId="77777777" w:rsidR="005257BD" w:rsidRPr="00997B81" w:rsidRDefault="005257BD" w:rsidP="00DA2F46">
            <w:pPr>
              <w:rPr>
                <w:rFonts w:cs="Arial"/>
                <w:bCs/>
                <w:sz w:val="22"/>
                <w:szCs w:val="22"/>
              </w:rPr>
            </w:pPr>
          </w:p>
          <w:p w14:paraId="73A8E553" w14:textId="77777777" w:rsidR="005257BD" w:rsidRPr="00997B81" w:rsidRDefault="005257BD" w:rsidP="00DA2F46">
            <w:pPr>
              <w:rPr>
                <w:rFonts w:cs="Arial"/>
                <w:b/>
                <w:sz w:val="22"/>
                <w:szCs w:val="22"/>
              </w:rPr>
            </w:pPr>
            <w:r w:rsidRPr="00997B81">
              <w:rPr>
                <w:rFonts w:cs="Arial"/>
                <w:b/>
                <w:sz w:val="22"/>
                <w:szCs w:val="22"/>
              </w:rPr>
              <w:t>Knowsley Injecting behaviour Adult Profiles: New Presentations</w:t>
            </w:r>
          </w:p>
          <w:p w14:paraId="31729C09" w14:textId="77777777" w:rsidR="005257BD" w:rsidRPr="00997B81" w:rsidRDefault="005257BD" w:rsidP="00DA2F46">
            <w:pPr>
              <w:rPr>
                <w:rFonts w:cs="Arial"/>
                <w:bCs/>
                <w:sz w:val="22"/>
                <w:szCs w:val="22"/>
              </w:rPr>
            </w:pPr>
            <w:r w:rsidRPr="00997B81">
              <w:rPr>
                <w:rFonts w:cs="Arial"/>
                <w:noProof/>
                <w:sz w:val="22"/>
                <w:szCs w:val="22"/>
              </w:rPr>
              <w:drawing>
                <wp:inline distT="0" distB="0" distL="0" distR="0" wp14:anchorId="285D6965" wp14:editId="22A11937">
                  <wp:extent cx="5911215" cy="2292350"/>
                  <wp:effectExtent l="0" t="0" r="0" b="0"/>
                  <wp:docPr id="7" name="Picture 7"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a computer&#10;&#10;Description automatically generated"/>
                          <pic:cNvPicPr>
                            <a:picLocks noChangeAspect="1"/>
                          </pic:cNvPicPr>
                        </pic:nvPicPr>
                        <pic:blipFill rotWithShape="1">
                          <a:blip r:embed="rId10"/>
                          <a:srcRect l="16974" t="26882" r="53620" b="32567"/>
                          <a:stretch/>
                        </pic:blipFill>
                        <pic:spPr bwMode="auto">
                          <a:xfrm>
                            <a:off x="0" y="0"/>
                            <a:ext cx="5911215" cy="2292350"/>
                          </a:xfrm>
                          <a:prstGeom prst="rect">
                            <a:avLst/>
                          </a:prstGeom>
                          <a:ln>
                            <a:noFill/>
                          </a:ln>
                          <a:extLst>
                            <a:ext uri="{53640926-AAD7-44D8-BBD7-CCE9431645EC}">
                              <a14:shadowObscured xmlns:a14="http://schemas.microsoft.com/office/drawing/2010/main"/>
                            </a:ext>
                          </a:extLst>
                        </pic:spPr>
                      </pic:pic>
                    </a:graphicData>
                  </a:graphic>
                </wp:inline>
              </w:drawing>
            </w:r>
          </w:p>
          <w:p w14:paraId="14D8DAEA" w14:textId="77777777" w:rsidR="005257BD" w:rsidRPr="00997B81" w:rsidRDefault="005257BD" w:rsidP="00DA2F46">
            <w:pPr>
              <w:rPr>
                <w:rFonts w:cs="Arial"/>
                <w:bCs/>
                <w:sz w:val="22"/>
                <w:szCs w:val="22"/>
              </w:rPr>
            </w:pPr>
          </w:p>
          <w:p w14:paraId="5E530E16" w14:textId="77777777" w:rsidR="005257BD" w:rsidRPr="00997B81" w:rsidRDefault="005257BD" w:rsidP="00DA2F46">
            <w:pPr>
              <w:rPr>
                <w:rFonts w:cs="Arial"/>
                <w:bCs/>
                <w:i/>
                <w:iCs/>
                <w:sz w:val="22"/>
                <w:szCs w:val="22"/>
              </w:rPr>
            </w:pPr>
            <w:r w:rsidRPr="00997B81">
              <w:rPr>
                <w:rFonts w:cs="Arial"/>
                <w:bCs/>
                <w:i/>
                <w:iCs/>
                <w:sz w:val="22"/>
                <w:szCs w:val="22"/>
              </w:rPr>
              <w:t>Source: NDTMS</w:t>
            </w:r>
          </w:p>
          <w:p w14:paraId="33503BFB" w14:textId="77777777" w:rsidR="005257BD" w:rsidRPr="00997B81" w:rsidRDefault="005257BD" w:rsidP="00DA2F46">
            <w:pPr>
              <w:rPr>
                <w:rFonts w:cs="Arial"/>
                <w:bCs/>
                <w:sz w:val="22"/>
                <w:szCs w:val="22"/>
              </w:rPr>
            </w:pPr>
          </w:p>
          <w:p w14:paraId="2819EBCB" w14:textId="77777777" w:rsidR="005257BD" w:rsidRPr="00997B81" w:rsidRDefault="005257BD" w:rsidP="00DA2F46">
            <w:pPr>
              <w:rPr>
                <w:rFonts w:cs="Arial"/>
                <w:bCs/>
                <w:sz w:val="22"/>
                <w:szCs w:val="22"/>
              </w:rPr>
            </w:pPr>
            <w:r w:rsidRPr="00997B81">
              <w:rPr>
                <w:rFonts w:cs="Arial"/>
                <w:bCs/>
                <w:sz w:val="22"/>
                <w:szCs w:val="22"/>
              </w:rPr>
              <w:t>Translated to a count of total numbers, in the Knowsley treatment population there are:</w:t>
            </w:r>
          </w:p>
          <w:p w14:paraId="05779BE6" w14:textId="77777777" w:rsidR="005257BD" w:rsidRPr="00997B81" w:rsidRDefault="005257BD" w:rsidP="00DA2F46">
            <w:pPr>
              <w:rPr>
                <w:rFonts w:cs="Arial"/>
                <w:bCs/>
                <w:sz w:val="22"/>
                <w:szCs w:val="22"/>
              </w:rPr>
            </w:pPr>
          </w:p>
          <w:p w14:paraId="58A46F2A" w14:textId="77777777" w:rsidR="005257BD" w:rsidRPr="00997B81" w:rsidRDefault="005257BD" w:rsidP="005257BD">
            <w:pPr>
              <w:pStyle w:val="ListParagraph"/>
              <w:numPr>
                <w:ilvl w:val="0"/>
                <w:numId w:val="1"/>
              </w:numPr>
              <w:rPr>
                <w:rFonts w:cs="Arial"/>
                <w:bCs/>
                <w:sz w:val="22"/>
                <w:szCs w:val="22"/>
              </w:rPr>
            </w:pPr>
            <w:r w:rsidRPr="00997B81">
              <w:rPr>
                <w:rFonts w:cs="Arial"/>
                <w:bCs/>
                <w:sz w:val="22"/>
                <w:szCs w:val="22"/>
              </w:rPr>
              <w:t>Never previously injected:384</w:t>
            </w:r>
          </w:p>
          <w:p w14:paraId="37498955" w14:textId="77777777" w:rsidR="005257BD" w:rsidRPr="00997B81" w:rsidRDefault="005257BD" w:rsidP="005257BD">
            <w:pPr>
              <w:pStyle w:val="ListParagraph"/>
              <w:numPr>
                <w:ilvl w:val="0"/>
                <w:numId w:val="1"/>
              </w:numPr>
              <w:rPr>
                <w:rFonts w:cs="Arial"/>
                <w:bCs/>
                <w:sz w:val="22"/>
                <w:szCs w:val="22"/>
              </w:rPr>
            </w:pPr>
            <w:r w:rsidRPr="00997B81">
              <w:rPr>
                <w:rFonts w:cs="Arial"/>
                <w:bCs/>
                <w:sz w:val="22"/>
                <w:szCs w:val="22"/>
              </w:rPr>
              <w:t>Previously injected: 29</w:t>
            </w:r>
          </w:p>
          <w:p w14:paraId="1B264B03" w14:textId="77777777" w:rsidR="005257BD" w:rsidRPr="00997B81" w:rsidRDefault="005257BD" w:rsidP="005257BD">
            <w:pPr>
              <w:pStyle w:val="ListParagraph"/>
              <w:numPr>
                <w:ilvl w:val="0"/>
                <w:numId w:val="1"/>
              </w:numPr>
              <w:rPr>
                <w:rFonts w:cs="Arial"/>
                <w:bCs/>
                <w:sz w:val="22"/>
                <w:szCs w:val="22"/>
              </w:rPr>
            </w:pPr>
            <w:r w:rsidRPr="00997B81">
              <w:rPr>
                <w:rFonts w:cs="Arial"/>
                <w:bCs/>
                <w:sz w:val="22"/>
                <w:szCs w:val="22"/>
              </w:rPr>
              <w:t>Currently injecting:  13</w:t>
            </w:r>
          </w:p>
          <w:p w14:paraId="2718705B" w14:textId="77777777" w:rsidR="005257BD" w:rsidRPr="00997B81" w:rsidRDefault="005257BD" w:rsidP="00DA2F46">
            <w:pPr>
              <w:rPr>
                <w:rFonts w:cs="Arial"/>
                <w:bCs/>
                <w:sz w:val="22"/>
                <w:szCs w:val="22"/>
              </w:rPr>
            </w:pPr>
          </w:p>
          <w:p w14:paraId="6F9B2AB9" w14:textId="77777777" w:rsidR="005257BD" w:rsidRPr="00997B81" w:rsidRDefault="005257BD" w:rsidP="00DA2F46">
            <w:pPr>
              <w:rPr>
                <w:rFonts w:cs="Arial"/>
                <w:bCs/>
                <w:sz w:val="22"/>
                <w:szCs w:val="22"/>
              </w:rPr>
            </w:pPr>
            <w:r w:rsidRPr="00997B81">
              <w:rPr>
                <w:rFonts w:cs="Arial"/>
                <w:bCs/>
                <w:sz w:val="22"/>
                <w:szCs w:val="22"/>
              </w:rPr>
              <w:t>The relatively low numbers should be however approached with caution as there are limitations on self-reported data. Localised monitoring systems suggest that despite low self-reported injecting status recorded on NDTMS, this may not be translated to practice. In addition, there are cohorts of PWID who do not access treatment as well as injectors of performance and image enhancing drugs (PIEDs) who are likely to access pharmacy-based Needle Syringe Programmes (NSPs).</w:t>
            </w:r>
          </w:p>
          <w:p w14:paraId="2EC2E8FA" w14:textId="77777777" w:rsidR="005257BD" w:rsidRPr="00997B81" w:rsidRDefault="005257BD" w:rsidP="00DA2F46">
            <w:pPr>
              <w:rPr>
                <w:rFonts w:cs="Arial"/>
                <w:bCs/>
                <w:sz w:val="22"/>
                <w:szCs w:val="22"/>
              </w:rPr>
            </w:pPr>
          </w:p>
          <w:p w14:paraId="06709CB6" w14:textId="77777777" w:rsidR="005257BD" w:rsidRPr="00997B81" w:rsidRDefault="005257BD" w:rsidP="00DA2F46">
            <w:pPr>
              <w:rPr>
                <w:rFonts w:cs="Arial"/>
                <w:bCs/>
                <w:sz w:val="22"/>
                <w:szCs w:val="22"/>
              </w:rPr>
            </w:pPr>
            <w:r w:rsidRPr="00997B81">
              <w:rPr>
                <w:rFonts w:cs="Arial"/>
                <w:bCs/>
                <w:sz w:val="22"/>
                <w:szCs w:val="22"/>
              </w:rPr>
              <w:t xml:space="preserve">People who inject drugs (PWID) constitute a vulnerable group who are at an elevated risk of contracting and transmitting several </w:t>
            </w:r>
            <w:proofErr w:type="gramStart"/>
            <w:r w:rsidRPr="00997B81">
              <w:rPr>
                <w:rFonts w:cs="Arial"/>
                <w:bCs/>
                <w:sz w:val="22"/>
                <w:szCs w:val="22"/>
              </w:rPr>
              <w:t>blood</w:t>
            </w:r>
            <w:proofErr w:type="gramEnd"/>
            <w:r w:rsidRPr="00997B81">
              <w:rPr>
                <w:rFonts w:cs="Arial"/>
                <w:bCs/>
                <w:sz w:val="22"/>
                <w:szCs w:val="22"/>
              </w:rPr>
              <w:t xml:space="preserve"> borne viruses (BBVs), including HIV, hepatitis B and hepatitis C. This can transpire through various risk behaviours, such as needle reusing and sharing needles, and unprotected sex – activities that have declined in recent years but still remain a significant problem. PWID are also more likely to encounter acute bacterial infections, following poor care of injection wounds. Furthermore, PWID are often exposed to socioeconomic inequalities and poor physical and mental health. Such experiences among PWID are exacerbated by unemployment, inadequate nutrition, stigma, social isolation and crime, leading to increased morbidity and mortality.</w:t>
            </w:r>
          </w:p>
          <w:p w14:paraId="29389616" w14:textId="77777777" w:rsidR="005257BD" w:rsidRPr="00997B81" w:rsidRDefault="005257BD" w:rsidP="00DA2F46">
            <w:pPr>
              <w:rPr>
                <w:rFonts w:cs="Arial"/>
                <w:bCs/>
                <w:sz w:val="22"/>
                <w:szCs w:val="22"/>
              </w:rPr>
            </w:pPr>
          </w:p>
          <w:p w14:paraId="7AE284A8" w14:textId="77777777" w:rsidR="005257BD" w:rsidRPr="00997B81" w:rsidRDefault="005257BD" w:rsidP="00DA2F46">
            <w:pPr>
              <w:rPr>
                <w:rFonts w:cs="Arial"/>
                <w:bCs/>
                <w:sz w:val="22"/>
                <w:szCs w:val="22"/>
              </w:rPr>
            </w:pPr>
            <w:r w:rsidRPr="00997B81">
              <w:rPr>
                <w:rFonts w:cs="Arial"/>
                <w:bCs/>
                <w:sz w:val="22"/>
                <w:szCs w:val="22"/>
              </w:rPr>
              <w:lastRenderedPageBreak/>
              <w:t>In Merseyside there is evidence to suggest that the number of individuals injecting opiates and stimulants, such as heroin or cocaine respectively, is decreasing. Concurrently, injectors of performance and image enhancing drugs (PIEDs), such as anabolic steroids, are increasing. As a public health challenge, injectors of PIEDs tend to engage in risky behaviour, such as sharing equipment, yet don’t necessarily identify themselves as being ‘typical’ drug users, i.e., those taking psychoactive substances like heroin or cocaine, and may need additional support.</w:t>
            </w:r>
          </w:p>
          <w:p w14:paraId="5F0829D9" w14:textId="77777777" w:rsidR="005257BD" w:rsidRPr="00997B81" w:rsidRDefault="005257BD" w:rsidP="00DA2F46">
            <w:pPr>
              <w:rPr>
                <w:rFonts w:cs="Arial"/>
                <w:bCs/>
                <w:sz w:val="22"/>
                <w:szCs w:val="22"/>
              </w:rPr>
            </w:pPr>
          </w:p>
          <w:p w14:paraId="573A5DBF" w14:textId="77777777" w:rsidR="005257BD" w:rsidRPr="00997B81" w:rsidRDefault="005257BD" w:rsidP="00DA2F46">
            <w:pPr>
              <w:rPr>
                <w:rFonts w:cs="Arial"/>
                <w:bCs/>
                <w:sz w:val="22"/>
                <w:szCs w:val="22"/>
              </w:rPr>
            </w:pPr>
            <w:r w:rsidRPr="00997B81">
              <w:rPr>
                <w:rFonts w:cs="Arial"/>
                <w:bCs/>
                <w:sz w:val="22"/>
                <w:szCs w:val="22"/>
              </w:rPr>
              <w:t>Consequently, different Service Users are likely to have unique needs for equipment, information and approaches to engagement. It is therefore important to understand how PWID are able to effectively, or ineffectively, access and utilise appropriate harm reduction services, including Needle and Syringe Programmes (NSPs).</w:t>
            </w:r>
          </w:p>
          <w:p w14:paraId="752B4226" w14:textId="77777777" w:rsidR="005257BD" w:rsidRPr="00997B81" w:rsidRDefault="005257BD" w:rsidP="00DA2F46">
            <w:pPr>
              <w:rPr>
                <w:rFonts w:cs="Arial"/>
                <w:bCs/>
                <w:sz w:val="22"/>
                <w:szCs w:val="22"/>
              </w:rPr>
            </w:pPr>
          </w:p>
          <w:p w14:paraId="17959CE0" w14:textId="77777777" w:rsidR="005257BD" w:rsidRPr="00997B81" w:rsidRDefault="005257BD" w:rsidP="00DA2F46">
            <w:pPr>
              <w:rPr>
                <w:rFonts w:cs="Arial"/>
                <w:bCs/>
                <w:sz w:val="22"/>
                <w:szCs w:val="22"/>
              </w:rPr>
            </w:pPr>
            <w:r w:rsidRPr="00997B81">
              <w:rPr>
                <w:rFonts w:cs="Arial"/>
                <w:bCs/>
                <w:sz w:val="22"/>
                <w:szCs w:val="22"/>
              </w:rPr>
              <w:t>In England, NSPs are provided by specialised drug services, as well as increasingly in local pharmacies, and are credited for their provision of safe and clean equipment to PWIDs. While their practices are informed by NICE guidelines (NICE, 2014), NSPs aim to encourage PWID to reduce risky behaviours and avoid dangers of overdose. From a public health perspective, NSPs further aim to minimise harm to the general public, including health professionals, who may be at an increased risk of infection when being exposed to contaminated needles and unprotected flesh.</w:t>
            </w:r>
          </w:p>
          <w:p w14:paraId="61AFF498" w14:textId="77777777" w:rsidR="005257BD" w:rsidRPr="00997B81" w:rsidRDefault="005257BD" w:rsidP="00DA2F46">
            <w:pPr>
              <w:rPr>
                <w:rFonts w:cs="Arial"/>
                <w:bCs/>
                <w:sz w:val="22"/>
                <w:szCs w:val="22"/>
              </w:rPr>
            </w:pPr>
          </w:p>
          <w:p w14:paraId="36476667" w14:textId="77777777" w:rsidR="005257BD" w:rsidRPr="00997B81" w:rsidRDefault="005257BD" w:rsidP="00DA2F46">
            <w:pPr>
              <w:rPr>
                <w:rFonts w:cs="Arial"/>
                <w:bCs/>
                <w:sz w:val="22"/>
                <w:szCs w:val="22"/>
              </w:rPr>
            </w:pPr>
            <w:r w:rsidRPr="00997B81">
              <w:rPr>
                <w:rFonts w:cs="Arial"/>
                <w:bCs/>
                <w:sz w:val="22"/>
                <w:szCs w:val="22"/>
              </w:rPr>
              <w:t>People who inject drugs using contaminated equipment (for either the preparation or injection of their drugs) are at risk of contracting – and transmitting – blood-borne viruses such as HIV, Hepatitis B and Hepatitis C. They are also at risk of a range of other infectious diseases and injection-site infections.</w:t>
            </w:r>
          </w:p>
          <w:p w14:paraId="6C304892" w14:textId="77777777" w:rsidR="005257BD" w:rsidRPr="00997B81" w:rsidRDefault="005257BD" w:rsidP="00DA2F46">
            <w:pPr>
              <w:rPr>
                <w:rFonts w:cs="Arial"/>
                <w:bCs/>
                <w:sz w:val="22"/>
                <w:szCs w:val="22"/>
              </w:rPr>
            </w:pPr>
          </w:p>
          <w:p w14:paraId="135CEA00" w14:textId="77777777" w:rsidR="005257BD" w:rsidRPr="00997B81" w:rsidRDefault="005257BD" w:rsidP="00DA2F46">
            <w:pPr>
              <w:rPr>
                <w:rFonts w:cs="Arial"/>
                <w:bCs/>
                <w:sz w:val="22"/>
                <w:szCs w:val="22"/>
              </w:rPr>
            </w:pPr>
          </w:p>
          <w:p w14:paraId="6E89B746" w14:textId="77777777" w:rsidR="005257BD" w:rsidRPr="00997B81" w:rsidRDefault="005257BD" w:rsidP="00DA2F46">
            <w:pPr>
              <w:rPr>
                <w:rFonts w:eastAsia="MS ??" w:cs="Arial"/>
                <w:b/>
                <w:bCs/>
                <w:sz w:val="22"/>
                <w:szCs w:val="22"/>
              </w:rPr>
            </w:pPr>
            <w:r w:rsidRPr="00997B81">
              <w:rPr>
                <w:rFonts w:eastAsia="MS ??" w:cs="Arial"/>
                <w:b/>
                <w:bCs/>
                <w:sz w:val="22"/>
                <w:szCs w:val="22"/>
              </w:rPr>
              <w:t>1.2 Background information</w:t>
            </w:r>
          </w:p>
          <w:p w14:paraId="3448D7E4" w14:textId="77777777" w:rsidR="005257BD" w:rsidRPr="00997B81" w:rsidRDefault="005257BD" w:rsidP="00DA2F46">
            <w:pPr>
              <w:rPr>
                <w:rFonts w:cs="Arial"/>
                <w:bCs/>
                <w:sz w:val="22"/>
                <w:szCs w:val="22"/>
              </w:rPr>
            </w:pPr>
          </w:p>
          <w:p w14:paraId="698F0930" w14:textId="77777777" w:rsidR="005257BD" w:rsidRPr="00997B81" w:rsidRDefault="005257BD" w:rsidP="00DA2F46">
            <w:pPr>
              <w:rPr>
                <w:rFonts w:cs="Arial"/>
                <w:bCs/>
                <w:sz w:val="22"/>
                <w:szCs w:val="22"/>
              </w:rPr>
            </w:pPr>
            <w:r w:rsidRPr="00997B81">
              <w:rPr>
                <w:rFonts w:cs="Arial"/>
                <w:bCs/>
                <w:sz w:val="22"/>
                <w:szCs w:val="22"/>
              </w:rPr>
              <w:t>Section 12 of the Health and Social care Act 2012 required local authorities in England from 2013 to take responsibility for improving the health of their local populations through the provision of a range of public health services and interventions including alcohol and drug treatment services. Local authorities have increased responsibility for commissioning and funding high quality drug and alcohol services that aim to reduce harm, engage populations into treatment and supports long term recovery.</w:t>
            </w:r>
          </w:p>
          <w:p w14:paraId="2F605B98" w14:textId="77777777" w:rsidR="005257BD" w:rsidRPr="00997B81" w:rsidRDefault="005257BD" w:rsidP="00DA2F46">
            <w:pPr>
              <w:rPr>
                <w:rFonts w:cs="Arial"/>
                <w:bCs/>
                <w:sz w:val="22"/>
                <w:szCs w:val="22"/>
                <w:highlight w:val="yellow"/>
              </w:rPr>
            </w:pPr>
          </w:p>
          <w:p w14:paraId="1EA691F0" w14:textId="77777777" w:rsidR="005257BD" w:rsidRPr="00997B81" w:rsidRDefault="005257BD" w:rsidP="00DA2F46">
            <w:pPr>
              <w:rPr>
                <w:rFonts w:cs="Arial"/>
                <w:sz w:val="22"/>
                <w:szCs w:val="22"/>
              </w:rPr>
            </w:pPr>
          </w:p>
          <w:p w14:paraId="7739751B" w14:textId="77777777" w:rsidR="005257BD" w:rsidRPr="00997B81" w:rsidRDefault="005257BD" w:rsidP="00DA2F46">
            <w:pPr>
              <w:rPr>
                <w:rFonts w:cs="Arial"/>
                <w:bCs/>
                <w:sz w:val="22"/>
                <w:szCs w:val="22"/>
              </w:rPr>
            </w:pPr>
            <w:r w:rsidRPr="00997B81">
              <w:rPr>
                <w:rFonts w:cs="Arial"/>
                <w:sz w:val="22"/>
                <w:szCs w:val="22"/>
              </w:rPr>
              <w:t xml:space="preserve">National Institute for Clinical Excellence (NICE): </w:t>
            </w:r>
            <w:hyperlink r:id="rId11" w:history="1">
              <w:r w:rsidRPr="00997B81">
                <w:rPr>
                  <w:rStyle w:val="Hyperlink"/>
                  <w:rFonts w:eastAsia="MS ??" w:cs="Arial"/>
                  <w:sz w:val="22"/>
                  <w:szCs w:val="22"/>
                </w:rPr>
                <w:t>https://www.nice.org.uk/guidance/ph52</w:t>
              </w:r>
            </w:hyperlink>
            <w:r w:rsidRPr="00997B81">
              <w:rPr>
                <w:rFonts w:cs="Arial"/>
                <w:sz w:val="22"/>
                <w:szCs w:val="22"/>
              </w:rPr>
              <w:t xml:space="preserve"> </w:t>
            </w:r>
          </w:p>
          <w:p w14:paraId="724E939A" w14:textId="77777777" w:rsidR="005257BD" w:rsidRPr="00997B81" w:rsidRDefault="005257BD" w:rsidP="00DA2F46">
            <w:pPr>
              <w:rPr>
                <w:rFonts w:cs="Arial"/>
                <w:bCs/>
                <w:sz w:val="22"/>
                <w:szCs w:val="22"/>
              </w:rPr>
            </w:pPr>
          </w:p>
          <w:p w14:paraId="4B817275" w14:textId="77777777" w:rsidR="005257BD" w:rsidRPr="00997B81" w:rsidRDefault="005257BD" w:rsidP="00DA2F46">
            <w:pPr>
              <w:rPr>
                <w:rFonts w:cs="Arial"/>
                <w:sz w:val="22"/>
                <w:szCs w:val="22"/>
              </w:rPr>
            </w:pPr>
            <w:r w:rsidRPr="00997B81">
              <w:rPr>
                <w:rFonts w:cs="Arial"/>
                <w:sz w:val="22"/>
                <w:szCs w:val="22"/>
              </w:rPr>
              <w:t>National Scheme Logo: The following logos should be made visible within the pharmacy setting:</w:t>
            </w:r>
          </w:p>
          <w:p w14:paraId="4010C18E" w14:textId="77777777" w:rsidR="005257BD" w:rsidRPr="00997B81" w:rsidRDefault="005257BD" w:rsidP="00DA2F46">
            <w:pPr>
              <w:rPr>
                <w:rFonts w:cs="Arial"/>
                <w:sz w:val="22"/>
                <w:szCs w:val="22"/>
              </w:rPr>
            </w:pPr>
          </w:p>
          <w:p w14:paraId="5DDE3043" w14:textId="77777777" w:rsidR="005257BD" w:rsidRPr="00997B81" w:rsidRDefault="005257BD" w:rsidP="00DA2F46">
            <w:pPr>
              <w:rPr>
                <w:rFonts w:cs="Arial"/>
                <w:bCs/>
                <w:sz w:val="22"/>
                <w:szCs w:val="22"/>
              </w:rPr>
            </w:pPr>
            <w:r w:rsidRPr="00997B81">
              <w:rPr>
                <w:rFonts w:cs="Arial"/>
                <w:noProof/>
                <w:sz w:val="22"/>
                <w:szCs w:val="22"/>
                <w:lang w:eastAsia="en-GB"/>
              </w:rPr>
              <w:drawing>
                <wp:inline distT="0" distB="0" distL="0" distR="0" wp14:anchorId="19511E70" wp14:editId="58095ECA">
                  <wp:extent cx="1076325" cy="1076325"/>
                  <wp:effectExtent l="0" t="0" r="9525" b="9525"/>
                  <wp:docPr id="1" name="Picture 1" descr="N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X"/>
                          <pic:cNvPicPr>
                            <a:picLocks noChangeAspect="1" noChangeArrowheads="1"/>
                          </pic:cNvPicPr>
                        </pic:nvPicPr>
                        <pic:blipFill>
                          <a:blip r:embed="rId12" cstate="print"/>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p w14:paraId="2FEE65B7" w14:textId="77777777" w:rsidR="005257BD" w:rsidRPr="00997B81" w:rsidRDefault="005257BD" w:rsidP="00DA2F46">
            <w:pPr>
              <w:rPr>
                <w:rFonts w:cs="Arial"/>
                <w:bCs/>
                <w:sz w:val="22"/>
                <w:szCs w:val="22"/>
              </w:rPr>
            </w:pPr>
          </w:p>
          <w:p w14:paraId="67C0DC1E" w14:textId="77777777" w:rsidR="005257BD" w:rsidRPr="00997B81" w:rsidRDefault="005257BD" w:rsidP="00DA2F46">
            <w:pPr>
              <w:rPr>
                <w:rFonts w:cs="Arial"/>
                <w:bCs/>
                <w:sz w:val="22"/>
                <w:szCs w:val="22"/>
              </w:rPr>
            </w:pPr>
            <w:r w:rsidRPr="00997B81">
              <w:rPr>
                <w:rFonts w:cs="Arial"/>
                <w:bCs/>
                <w:sz w:val="22"/>
                <w:szCs w:val="22"/>
              </w:rPr>
              <w:t xml:space="preserve">Contact </w:t>
            </w:r>
            <w:hyperlink r:id="rId13" w:history="1">
              <w:r w:rsidRPr="00997B81">
                <w:rPr>
                  <w:rStyle w:val="Hyperlink"/>
                  <w:rFonts w:eastAsia="MS ??" w:cs="Arial"/>
                  <w:bCs/>
                  <w:sz w:val="22"/>
                  <w:szCs w:val="22"/>
                </w:rPr>
                <w:t>l</w:t>
              </w:r>
              <w:r w:rsidRPr="00997B81">
                <w:rPr>
                  <w:rStyle w:val="Hyperlink"/>
                  <w:rFonts w:eastAsia="MS ??" w:cs="Arial"/>
                  <w:sz w:val="22"/>
                  <w:szCs w:val="22"/>
                </w:rPr>
                <w:t>eanda.spence</w:t>
              </w:r>
              <w:r w:rsidRPr="00997B81">
                <w:rPr>
                  <w:rStyle w:val="Hyperlink"/>
                  <w:rFonts w:eastAsia="MS ??" w:cs="Arial"/>
                  <w:bCs/>
                  <w:sz w:val="22"/>
                  <w:szCs w:val="22"/>
                </w:rPr>
                <w:t>@Knowsley.gov.uk</w:t>
              </w:r>
            </w:hyperlink>
            <w:r w:rsidRPr="00997B81">
              <w:rPr>
                <w:rFonts w:cs="Arial"/>
                <w:bCs/>
                <w:sz w:val="22"/>
                <w:szCs w:val="22"/>
              </w:rPr>
              <w:t xml:space="preserve"> (07385944968) for additional supplies</w:t>
            </w:r>
          </w:p>
          <w:p w14:paraId="6CC96567" w14:textId="77777777" w:rsidR="005257BD" w:rsidRPr="00997B81" w:rsidRDefault="005257BD" w:rsidP="00DA2F46">
            <w:pPr>
              <w:rPr>
                <w:rFonts w:cs="Arial"/>
                <w:bCs/>
                <w:sz w:val="22"/>
                <w:szCs w:val="22"/>
              </w:rPr>
            </w:pPr>
          </w:p>
          <w:p w14:paraId="05441FF3" w14:textId="77777777" w:rsidR="005257BD" w:rsidRPr="00B83CCA" w:rsidRDefault="005257BD" w:rsidP="00DA2F46">
            <w:pPr>
              <w:pStyle w:val="CommentText"/>
              <w:rPr>
                <w:rFonts w:cs="Arial"/>
                <w:sz w:val="22"/>
                <w:szCs w:val="22"/>
              </w:rPr>
            </w:pPr>
            <w:bookmarkStart w:id="0" w:name="_Hlk141870242"/>
            <w:proofErr w:type="gramStart"/>
            <w:r w:rsidRPr="00997B81">
              <w:rPr>
                <w:rFonts w:cs="Arial"/>
                <w:b/>
                <w:sz w:val="22"/>
                <w:szCs w:val="22"/>
              </w:rPr>
              <w:t xml:space="preserve">1.3 </w:t>
            </w:r>
            <w:r w:rsidRPr="00B83CCA">
              <w:rPr>
                <w:rFonts w:cs="Arial"/>
                <w:sz w:val="22"/>
                <w:szCs w:val="22"/>
              </w:rPr>
              <w:t xml:space="preserve"> </w:t>
            </w:r>
            <w:r w:rsidRPr="00B83CCA">
              <w:rPr>
                <w:rFonts w:cs="Arial"/>
                <w:b/>
                <w:bCs/>
                <w:sz w:val="22"/>
                <w:szCs w:val="22"/>
              </w:rPr>
              <w:t>Training</w:t>
            </w:r>
            <w:proofErr w:type="gramEnd"/>
            <w:r w:rsidRPr="00B83CCA">
              <w:rPr>
                <w:rFonts w:cs="Arial"/>
                <w:b/>
                <w:bCs/>
                <w:sz w:val="22"/>
                <w:szCs w:val="22"/>
              </w:rPr>
              <w:t xml:space="preserve"> </w:t>
            </w:r>
          </w:p>
          <w:p w14:paraId="218A66C0" w14:textId="77777777" w:rsidR="005257BD" w:rsidRPr="00B83CCA" w:rsidRDefault="005257BD" w:rsidP="00DA2F46">
            <w:pPr>
              <w:pStyle w:val="CommentText"/>
              <w:rPr>
                <w:rFonts w:cs="Arial"/>
                <w:sz w:val="22"/>
                <w:szCs w:val="22"/>
              </w:rPr>
            </w:pPr>
          </w:p>
          <w:p w14:paraId="55949370" w14:textId="77777777" w:rsidR="005257BD" w:rsidRPr="00B83CCA" w:rsidRDefault="005257BD" w:rsidP="00DA2F46">
            <w:pPr>
              <w:rPr>
                <w:rStyle w:val="Hyperlink"/>
                <w:rFonts w:eastAsia="MS ??" w:cs="Arial"/>
                <w:sz w:val="22"/>
                <w:szCs w:val="22"/>
              </w:rPr>
            </w:pPr>
            <w:r w:rsidRPr="00B83CCA">
              <w:rPr>
                <w:rFonts w:cs="Arial"/>
                <w:b/>
                <w:sz w:val="22"/>
                <w:szCs w:val="22"/>
                <w:lang w:eastAsia="en-GB"/>
              </w:rPr>
              <w:t>The pharmacist must satisfy the requirements of the CPPE self-declaration of competence “Needle and syringe programme”</w:t>
            </w:r>
            <w:r w:rsidRPr="00B83CCA">
              <w:rPr>
                <w:rFonts w:cs="Arial"/>
                <w:b/>
                <w:color w:val="000000"/>
                <w:sz w:val="22"/>
                <w:szCs w:val="22"/>
                <w:lang w:eastAsia="en-GB"/>
              </w:rPr>
              <w:t xml:space="preserve"> and complete a declaration of competence which can be located </w:t>
            </w:r>
            <w:hyperlink r:id="rId14" w:history="1">
              <w:r w:rsidRPr="00B83CCA">
                <w:rPr>
                  <w:rStyle w:val="Hyperlink"/>
                  <w:rFonts w:eastAsia="MS ??" w:cs="Arial"/>
                  <w:b/>
                  <w:sz w:val="22"/>
                  <w:szCs w:val="22"/>
                  <w:lang w:eastAsia="en-GB"/>
                </w:rPr>
                <w:t>here</w:t>
              </w:r>
            </w:hyperlink>
            <w:r w:rsidRPr="00B83CCA">
              <w:rPr>
                <w:rStyle w:val="Hyperlink"/>
                <w:rFonts w:eastAsia="MS ??" w:cs="Arial"/>
                <w:sz w:val="22"/>
                <w:szCs w:val="22"/>
              </w:rPr>
              <w:t>.</w:t>
            </w:r>
          </w:p>
          <w:p w14:paraId="3FE918AA" w14:textId="77777777" w:rsidR="005257BD" w:rsidRPr="00B83CCA" w:rsidRDefault="005257BD" w:rsidP="00DA2F46">
            <w:pPr>
              <w:pStyle w:val="CommentText"/>
              <w:rPr>
                <w:rFonts w:cs="Arial"/>
                <w:sz w:val="22"/>
                <w:szCs w:val="22"/>
              </w:rPr>
            </w:pPr>
          </w:p>
          <w:p w14:paraId="6C63F797" w14:textId="77777777" w:rsidR="005257BD" w:rsidRPr="00997B81" w:rsidRDefault="005257BD" w:rsidP="00DA2F46">
            <w:pPr>
              <w:rPr>
                <w:rFonts w:cs="Arial"/>
                <w:sz w:val="22"/>
                <w:szCs w:val="22"/>
              </w:rPr>
            </w:pPr>
            <w:r w:rsidRPr="00B83CCA">
              <w:rPr>
                <w:rFonts w:cs="Arial"/>
                <w:sz w:val="22"/>
                <w:szCs w:val="22"/>
              </w:rPr>
              <w:t>Suggested training which will support pharmacies deliver this service:</w:t>
            </w:r>
            <w:r w:rsidRPr="00997B81">
              <w:rPr>
                <w:rFonts w:cs="Arial"/>
                <w:sz w:val="22"/>
                <w:szCs w:val="22"/>
              </w:rPr>
              <w:t xml:space="preserve"> </w:t>
            </w:r>
          </w:p>
          <w:p w14:paraId="521E40C8" w14:textId="77777777" w:rsidR="005257BD" w:rsidRPr="00997B81" w:rsidRDefault="005257BD" w:rsidP="00DA2F46">
            <w:pPr>
              <w:rPr>
                <w:rFonts w:cs="Arial"/>
                <w:sz w:val="22"/>
                <w:szCs w:val="22"/>
              </w:rPr>
            </w:pPr>
          </w:p>
          <w:p w14:paraId="6DA82C45" w14:textId="77777777" w:rsidR="005257BD" w:rsidRPr="00B83CCA" w:rsidRDefault="005257BD" w:rsidP="00DA2F46">
            <w:pPr>
              <w:rPr>
                <w:rFonts w:cs="Arial"/>
                <w:sz w:val="22"/>
                <w:szCs w:val="22"/>
              </w:rPr>
            </w:pPr>
            <w:r w:rsidRPr="00B83CCA">
              <w:rPr>
                <w:rFonts w:cs="Arial"/>
                <w:sz w:val="22"/>
                <w:szCs w:val="22"/>
              </w:rPr>
              <w:lastRenderedPageBreak/>
              <w:t xml:space="preserve">The Provider is required to ensure that all pharmacists and pharmacy technicians are fully compliant when providing NSP services and have the relevant qualifications, registrations and completed relevant Centre for Pharmacy Postgraduate Education (CPPE) declaration of competence. </w:t>
            </w:r>
          </w:p>
          <w:p w14:paraId="67B73752" w14:textId="77777777" w:rsidR="005257BD" w:rsidRPr="00B83CCA" w:rsidRDefault="005257BD" w:rsidP="00DA2F46">
            <w:pPr>
              <w:rPr>
                <w:rFonts w:cs="Arial"/>
                <w:sz w:val="22"/>
                <w:szCs w:val="22"/>
              </w:rPr>
            </w:pPr>
          </w:p>
          <w:p w14:paraId="7AD22020" w14:textId="77777777" w:rsidR="005257BD" w:rsidRPr="00B83CCA" w:rsidRDefault="005257BD" w:rsidP="00DA2F46">
            <w:pPr>
              <w:rPr>
                <w:rFonts w:cs="Arial"/>
                <w:sz w:val="22"/>
                <w:szCs w:val="22"/>
              </w:rPr>
            </w:pPr>
            <w:r w:rsidRPr="00B83CCA">
              <w:rPr>
                <w:rFonts w:cs="Arial"/>
                <w:sz w:val="22"/>
                <w:szCs w:val="22"/>
              </w:rPr>
              <w:t>CPPE e- learning which supports this declaration includes:</w:t>
            </w:r>
          </w:p>
          <w:p w14:paraId="6A275592" w14:textId="77777777" w:rsidR="005257BD" w:rsidRPr="00B83CCA" w:rsidRDefault="005257BD" w:rsidP="00DA2F46">
            <w:pPr>
              <w:rPr>
                <w:rFonts w:cs="Arial"/>
                <w:sz w:val="22"/>
                <w:szCs w:val="22"/>
              </w:rPr>
            </w:pPr>
          </w:p>
          <w:p w14:paraId="020ABC40" w14:textId="77777777" w:rsidR="005257BD" w:rsidRPr="00997B81" w:rsidRDefault="005257BD" w:rsidP="00DA2F46">
            <w:pPr>
              <w:rPr>
                <w:rFonts w:cs="Arial"/>
                <w:sz w:val="22"/>
                <w:szCs w:val="22"/>
              </w:rPr>
            </w:pPr>
            <w:hyperlink r:id="rId15" w:history="1">
              <w:r w:rsidRPr="00997B81">
                <w:rPr>
                  <w:rStyle w:val="Hyperlink"/>
                  <w:rFonts w:eastAsia="MS ??" w:cs="Arial"/>
                  <w:sz w:val="22"/>
                  <w:szCs w:val="22"/>
                </w:rPr>
                <w:t>Substance use and misuse (July 2021)</w:t>
              </w:r>
            </w:hyperlink>
            <w:r w:rsidRPr="00997B81">
              <w:rPr>
                <w:rFonts w:cs="Arial"/>
                <w:sz w:val="22"/>
                <w:szCs w:val="22"/>
              </w:rPr>
              <w:t xml:space="preserve">: CPPE </w:t>
            </w:r>
            <w:r w:rsidRPr="00B83CCA">
              <w:rPr>
                <w:rFonts w:cs="Arial"/>
                <w:sz w:val="22"/>
                <w:szCs w:val="22"/>
              </w:rPr>
              <w:t>e</w:t>
            </w:r>
            <w:r w:rsidRPr="00997B81">
              <w:rPr>
                <w:rFonts w:cs="Arial"/>
                <w:sz w:val="22"/>
                <w:szCs w:val="22"/>
              </w:rPr>
              <w:t>-Course</w:t>
            </w:r>
          </w:p>
          <w:p w14:paraId="70E4A08A" w14:textId="77777777" w:rsidR="005257BD" w:rsidRPr="00B83CCA" w:rsidRDefault="005257BD" w:rsidP="00DA2F46">
            <w:pPr>
              <w:rPr>
                <w:rFonts w:cs="Arial"/>
                <w:sz w:val="22"/>
                <w:szCs w:val="22"/>
              </w:rPr>
            </w:pPr>
            <w:hyperlink r:id="rId16" w:history="1">
              <w:r w:rsidRPr="00B83CCA">
                <w:rPr>
                  <w:rStyle w:val="Hyperlink"/>
                  <w:rFonts w:eastAsia="MS ??" w:cs="Arial"/>
                  <w:sz w:val="22"/>
                  <w:szCs w:val="22"/>
                </w:rPr>
                <w:t>Substance use and misuse (2023): CPPE</w:t>
              </w:r>
            </w:hyperlink>
            <w:r w:rsidRPr="00B83CCA">
              <w:rPr>
                <w:rFonts w:cs="Arial"/>
                <w:sz w:val="22"/>
                <w:szCs w:val="22"/>
              </w:rPr>
              <w:t xml:space="preserve">- e- Assessment </w:t>
            </w:r>
          </w:p>
          <w:p w14:paraId="0DEFBE4E" w14:textId="77777777" w:rsidR="005257BD" w:rsidRPr="00B83CCA" w:rsidRDefault="005257BD" w:rsidP="00DA2F46">
            <w:pPr>
              <w:rPr>
                <w:rFonts w:cs="Arial"/>
                <w:sz w:val="22"/>
                <w:szCs w:val="22"/>
              </w:rPr>
            </w:pPr>
            <w:hyperlink r:id="rId17" w:history="1">
              <w:r w:rsidRPr="00997B81">
                <w:rPr>
                  <w:rStyle w:val="Hyperlink"/>
                  <w:rFonts w:eastAsia="MS ??" w:cs="Arial"/>
                  <w:sz w:val="22"/>
                  <w:szCs w:val="22"/>
                </w:rPr>
                <w:t>Addiction, misuse and dependency (June 2017)</w:t>
              </w:r>
            </w:hyperlink>
            <w:r w:rsidRPr="00B83CCA">
              <w:rPr>
                <w:rFonts w:cs="Arial"/>
                <w:b/>
                <w:bCs/>
                <w:sz w:val="22"/>
                <w:szCs w:val="22"/>
              </w:rPr>
              <w:t xml:space="preserve">: </w:t>
            </w:r>
            <w:r w:rsidRPr="00B83CCA">
              <w:rPr>
                <w:rFonts w:cs="Arial"/>
                <w:b/>
                <w:bCs/>
                <w:i/>
                <w:iCs/>
                <w:sz w:val="22"/>
                <w:szCs w:val="22"/>
              </w:rPr>
              <w:t xml:space="preserve">A focus on over-the counter and prescribed medicines: </w:t>
            </w:r>
            <w:r w:rsidRPr="00B83CCA">
              <w:rPr>
                <w:rFonts w:cs="Arial"/>
                <w:b/>
                <w:bCs/>
                <w:sz w:val="22"/>
                <w:szCs w:val="22"/>
              </w:rPr>
              <w:t> </w:t>
            </w:r>
            <w:r w:rsidRPr="00B83CCA">
              <w:rPr>
                <w:rFonts w:cs="Arial"/>
                <w:sz w:val="22"/>
                <w:szCs w:val="22"/>
              </w:rPr>
              <w:t>CPPE e-learning module</w:t>
            </w:r>
          </w:p>
          <w:p w14:paraId="41647D98" w14:textId="77777777" w:rsidR="005257BD" w:rsidRPr="00B83CCA" w:rsidRDefault="005257BD" w:rsidP="00DA2F46">
            <w:pPr>
              <w:rPr>
                <w:rFonts w:cs="Arial"/>
                <w:sz w:val="22"/>
                <w:szCs w:val="22"/>
              </w:rPr>
            </w:pPr>
            <w:r w:rsidRPr="00B83CCA">
              <w:rPr>
                <w:rFonts w:cs="Arial"/>
                <w:sz w:val="22"/>
                <w:szCs w:val="22"/>
              </w:rPr>
              <w:t> </w:t>
            </w:r>
          </w:p>
          <w:p w14:paraId="47330018" w14:textId="77777777" w:rsidR="005257BD" w:rsidRPr="00B83CCA" w:rsidRDefault="005257BD" w:rsidP="00DA2F46">
            <w:pPr>
              <w:rPr>
                <w:rFonts w:cs="Arial"/>
                <w:sz w:val="22"/>
                <w:szCs w:val="22"/>
              </w:rPr>
            </w:pPr>
            <w:r w:rsidRPr="00B83CCA">
              <w:rPr>
                <w:rFonts w:cs="Arial"/>
                <w:b/>
                <w:bCs/>
                <w:sz w:val="22"/>
                <w:szCs w:val="22"/>
              </w:rPr>
              <w:t xml:space="preserve">Other training suitable for all staff </w:t>
            </w:r>
          </w:p>
          <w:p w14:paraId="0A976453" w14:textId="77777777" w:rsidR="005257BD" w:rsidRPr="00B83CCA" w:rsidRDefault="005257BD" w:rsidP="00DA2F46">
            <w:pPr>
              <w:rPr>
                <w:rFonts w:cs="Arial"/>
                <w:sz w:val="22"/>
                <w:szCs w:val="22"/>
              </w:rPr>
            </w:pPr>
            <w:r w:rsidRPr="00B83CCA">
              <w:rPr>
                <w:rFonts w:cs="Arial"/>
                <w:b/>
                <w:bCs/>
                <w:sz w:val="22"/>
                <w:szCs w:val="22"/>
              </w:rPr>
              <w:t> </w:t>
            </w:r>
          </w:p>
          <w:p w14:paraId="6CF08231" w14:textId="77777777" w:rsidR="005257BD" w:rsidRPr="00997B81" w:rsidRDefault="005257BD" w:rsidP="00DA2F46">
            <w:pPr>
              <w:rPr>
                <w:rFonts w:cs="Arial"/>
                <w:sz w:val="22"/>
                <w:szCs w:val="22"/>
              </w:rPr>
            </w:pPr>
            <w:hyperlink r:id="rId18" w:history="1">
              <w:r w:rsidRPr="00B83CCA">
                <w:rPr>
                  <w:rStyle w:val="Hyperlink"/>
                  <w:rFonts w:eastAsia="MS ??" w:cs="Arial"/>
                  <w:sz w:val="22"/>
                  <w:szCs w:val="22"/>
                </w:rPr>
                <w:t>http://www.frontiersharpsafety.com/</w:t>
              </w:r>
            </w:hyperlink>
            <w:r w:rsidRPr="00997B81">
              <w:rPr>
                <w:rFonts w:cs="Arial"/>
                <w:sz w:val="22"/>
                <w:szCs w:val="22"/>
              </w:rPr>
              <w:t xml:space="preserve"> - Training modules</w:t>
            </w:r>
          </w:p>
          <w:p w14:paraId="61BF7AEC" w14:textId="77777777" w:rsidR="005257BD" w:rsidRPr="00997B81" w:rsidRDefault="005257BD" w:rsidP="00DA2F46">
            <w:pPr>
              <w:rPr>
                <w:rFonts w:cs="Arial"/>
                <w:sz w:val="22"/>
                <w:szCs w:val="22"/>
              </w:rPr>
            </w:pPr>
            <w:r w:rsidRPr="00B83CCA">
              <w:rPr>
                <w:rFonts w:cs="Arial"/>
                <w:sz w:val="22"/>
                <w:szCs w:val="22"/>
              </w:rPr>
              <w:t> </w:t>
            </w:r>
          </w:p>
          <w:p w14:paraId="09DBA9F2" w14:textId="77777777" w:rsidR="005257BD" w:rsidRPr="00997B81" w:rsidRDefault="005257BD" w:rsidP="00DA2F46">
            <w:pPr>
              <w:rPr>
                <w:rFonts w:cs="Arial"/>
                <w:sz w:val="22"/>
                <w:szCs w:val="22"/>
              </w:rPr>
            </w:pPr>
            <w:hyperlink r:id="rId19" w:history="1">
              <w:r w:rsidRPr="00B83CCA">
                <w:rPr>
                  <w:rStyle w:val="Hyperlink"/>
                  <w:rFonts w:eastAsia="MS ??" w:cs="Arial"/>
                  <w:sz w:val="22"/>
                  <w:szCs w:val="22"/>
                </w:rPr>
                <w:t>http://www.ipedinfo.co.uk/index.html</w:t>
              </w:r>
            </w:hyperlink>
            <w:r w:rsidRPr="00997B81">
              <w:rPr>
                <w:rFonts w:cs="Arial"/>
                <w:sz w:val="22"/>
                <w:szCs w:val="22"/>
              </w:rPr>
              <w:t xml:space="preserve"> - Information and videos for training on Steroid Injecting</w:t>
            </w:r>
          </w:p>
          <w:p w14:paraId="4B136634" w14:textId="77777777" w:rsidR="005257BD" w:rsidRPr="00997B81" w:rsidRDefault="005257BD" w:rsidP="00DA2F46">
            <w:pPr>
              <w:rPr>
                <w:rFonts w:cs="Arial"/>
                <w:sz w:val="22"/>
                <w:szCs w:val="22"/>
              </w:rPr>
            </w:pPr>
          </w:p>
          <w:p w14:paraId="4244C90F" w14:textId="77777777" w:rsidR="005257BD" w:rsidRPr="00B83CCA" w:rsidRDefault="005257BD" w:rsidP="00DA2F46">
            <w:pPr>
              <w:rPr>
                <w:rFonts w:cs="Arial"/>
                <w:sz w:val="22"/>
                <w:szCs w:val="22"/>
              </w:rPr>
            </w:pPr>
          </w:p>
          <w:bookmarkEnd w:id="0"/>
          <w:p w14:paraId="63E21B11" w14:textId="77777777" w:rsidR="005257BD" w:rsidRPr="00997B81" w:rsidRDefault="005257BD" w:rsidP="00DA2F46">
            <w:pPr>
              <w:rPr>
                <w:rFonts w:eastAsia="MS ??" w:cs="Arial"/>
                <w:b/>
                <w:bCs/>
                <w:sz w:val="22"/>
                <w:szCs w:val="22"/>
              </w:rPr>
            </w:pPr>
          </w:p>
        </w:tc>
      </w:tr>
      <w:tr w:rsidR="005257BD" w:rsidRPr="00997B81" w14:paraId="779BEE50" w14:textId="77777777" w:rsidTr="00DA2F46">
        <w:tc>
          <w:tcPr>
            <w:tcW w:w="10485" w:type="dxa"/>
            <w:tcBorders>
              <w:top w:val="single" w:sz="4" w:space="0" w:color="999999"/>
              <w:left w:val="single" w:sz="4" w:space="0" w:color="999999"/>
              <w:bottom w:val="single" w:sz="4" w:space="0" w:color="999999"/>
              <w:right w:val="single" w:sz="4" w:space="0" w:color="999999"/>
            </w:tcBorders>
            <w:shd w:val="clear" w:color="auto" w:fill="666666"/>
          </w:tcPr>
          <w:p w14:paraId="381D2DAD" w14:textId="77777777" w:rsidR="005257BD" w:rsidRPr="00997B81" w:rsidRDefault="005257BD" w:rsidP="00DA2F46">
            <w:pPr>
              <w:rPr>
                <w:rFonts w:eastAsia="MS ??" w:cs="Arial"/>
                <w:b/>
                <w:color w:val="FFFFFF"/>
                <w:sz w:val="22"/>
                <w:szCs w:val="22"/>
              </w:rPr>
            </w:pPr>
          </w:p>
          <w:p w14:paraId="526E2A7A" w14:textId="77777777" w:rsidR="005257BD" w:rsidRPr="00997B81" w:rsidRDefault="005257BD" w:rsidP="00DA2F46">
            <w:pPr>
              <w:rPr>
                <w:rFonts w:eastAsia="MS ??" w:cs="Arial"/>
                <w:b/>
                <w:color w:val="FFFFFF"/>
                <w:sz w:val="22"/>
                <w:szCs w:val="22"/>
              </w:rPr>
            </w:pPr>
            <w:r w:rsidRPr="00997B81">
              <w:rPr>
                <w:rFonts w:eastAsia="MS ??" w:cs="Arial"/>
                <w:b/>
                <w:color w:val="FFFFFF"/>
                <w:sz w:val="22"/>
                <w:szCs w:val="22"/>
              </w:rPr>
              <w:t>2. Key Service Outcomes</w:t>
            </w:r>
          </w:p>
          <w:p w14:paraId="676061FC" w14:textId="77777777" w:rsidR="005257BD" w:rsidRPr="00997B81" w:rsidRDefault="005257BD" w:rsidP="00DA2F46">
            <w:pPr>
              <w:rPr>
                <w:rFonts w:eastAsia="MS ??" w:cs="Arial"/>
                <w:b/>
                <w:color w:val="FFFFFF"/>
                <w:sz w:val="22"/>
                <w:szCs w:val="22"/>
                <w:u w:val="single"/>
              </w:rPr>
            </w:pPr>
          </w:p>
        </w:tc>
      </w:tr>
      <w:tr w:rsidR="005257BD" w:rsidRPr="00997B81" w14:paraId="246F36AD" w14:textId="77777777" w:rsidTr="00DA2F46">
        <w:tc>
          <w:tcPr>
            <w:tcW w:w="10485" w:type="dxa"/>
            <w:tcBorders>
              <w:top w:val="single" w:sz="4" w:space="0" w:color="999999"/>
              <w:left w:val="single" w:sz="4" w:space="0" w:color="999999"/>
              <w:bottom w:val="single" w:sz="4" w:space="0" w:color="999999"/>
              <w:right w:val="single" w:sz="4" w:space="0" w:color="999999"/>
            </w:tcBorders>
          </w:tcPr>
          <w:p w14:paraId="3412773D" w14:textId="77777777" w:rsidR="005257BD" w:rsidRPr="00997B81" w:rsidRDefault="005257BD" w:rsidP="00DA2F46">
            <w:pPr>
              <w:rPr>
                <w:rFonts w:eastAsia="MS ??" w:cs="Arial"/>
                <w:bCs/>
                <w:sz w:val="22"/>
                <w:szCs w:val="22"/>
              </w:rPr>
            </w:pPr>
          </w:p>
          <w:p w14:paraId="43752285" w14:textId="77777777" w:rsidR="005257BD" w:rsidRPr="00997B81" w:rsidRDefault="005257BD" w:rsidP="00DA2F46">
            <w:pPr>
              <w:rPr>
                <w:rFonts w:cs="Arial"/>
                <w:bCs/>
                <w:sz w:val="22"/>
                <w:szCs w:val="22"/>
              </w:rPr>
            </w:pPr>
            <w:r w:rsidRPr="00997B81">
              <w:rPr>
                <w:rFonts w:cs="Arial"/>
                <w:bCs/>
                <w:sz w:val="22"/>
                <w:szCs w:val="22"/>
              </w:rPr>
              <w:t>See aims and objectives below.</w:t>
            </w:r>
          </w:p>
          <w:p w14:paraId="7FBA2D77" w14:textId="77777777" w:rsidR="005257BD" w:rsidRPr="00997B81" w:rsidRDefault="005257BD" w:rsidP="00DA2F46">
            <w:pPr>
              <w:rPr>
                <w:rFonts w:cs="Arial"/>
                <w:bCs/>
                <w:sz w:val="22"/>
                <w:szCs w:val="22"/>
              </w:rPr>
            </w:pPr>
          </w:p>
        </w:tc>
      </w:tr>
      <w:tr w:rsidR="005257BD" w:rsidRPr="00997B81" w14:paraId="6490BB1C" w14:textId="77777777" w:rsidTr="00DA2F46">
        <w:tc>
          <w:tcPr>
            <w:tcW w:w="10485" w:type="dxa"/>
            <w:tcBorders>
              <w:top w:val="single" w:sz="4" w:space="0" w:color="999999"/>
              <w:left w:val="single" w:sz="4" w:space="0" w:color="999999"/>
              <w:bottom w:val="single" w:sz="4" w:space="0" w:color="999999"/>
              <w:right w:val="single" w:sz="4" w:space="0" w:color="999999"/>
            </w:tcBorders>
            <w:shd w:val="clear" w:color="auto" w:fill="666666"/>
          </w:tcPr>
          <w:p w14:paraId="59915BD8" w14:textId="77777777" w:rsidR="005257BD" w:rsidRPr="00997B81" w:rsidRDefault="005257BD" w:rsidP="00DA2F46">
            <w:pPr>
              <w:rPr>
                <w:rFonts w:eastAsia="MS ??" w:cs="Arial"/>
                <w:b/>
                <w:color w:val="FFFFFF"/>
                <w:sz w:val="22"/>
                <w:szCs w:val="22"/>
                <w:u w:val="single"/>
              </w:rPr>
            </w:pPr>
          </w:p>
          <w:p w14:paraId="387D54DF" w14:textId="77777777" w:rsidR="005257BD" w:rsidRPr="00997B81" w:rsidRDefault="005257BD" w:rsidP="00DA2F46">
            <w:pPr>
              <w:rPr>
                <w:rFonts w:eastAsia="MS ??" w:cs="Arial"/>
                <w:b/>
                <w:color w:val="FFFFFF"/>
                <w:sz w:val="22"/>
                <w:szCs w:val="22"/>
              </w:rPr>
            </w:pPr>
            <w:r w:rsidRPr="00997B81">
              <w:rPr>
                <w:rFonts w:eastAsia="MS ??" w:cs="Arial"/>
                <w:b/>
                <w:color w:val="FFFFFF"/>
                <w:sz w:val="22"/>
                <w:szCs w:val="22"/>
              </w:rPr>
              <w:t>3. Scope</w:t>
            </w:r>
          </w:p>
          <w:p w14:paraId="3B2DBBF7" w14:textId="77777777" w:rsidR="005257BD" w:rsidRPr="00997B81" w:rsidRDefault="005257BD" w:rsidP="00DA2F46">
            <w:pPr>
              <w:rPr>
                <w:rFonts w:eastAsia="MS ??" w:cs="Arial"/>
                <w:b/>
                <w:color w:val="FFFFFF"/>
                <w:sz w:val="22"/>
                <w:szCs w:val="22"/>
                <w:u w:val="single"/>
              </w:rPr>
            </w:pPr>
          </w:p>
        </w:tc>
      </w:tr>
      <w:tr w:rsidR="005257BD" w:rsidRPr="00997B81" w14:paraId="139E1AB0" w14:textId="77777777" w:rsidTr="00DA2F46">
        <w:tc>
          <w:tcPr>
            <w:tcW w:w="10485" w:type="dxa"/>
            <w:tcBorders>
              <w:top w:val="single" w:sz="4" w:space="0" w:color="999999"/>
              <w:left w:val="single" w:sz="4" w:space="0" w:color="999999"/>
              <w:bottom w:val="single" w:sz="4" w:space="0" w:color="999999"/>
              <w:right w:val="single" w:sz="4" w:space="0" w:color="999999"/>
            </w:tcBorders>
          </w:tcPr>
          <w:p w14:paraId="1F670CD9" w14:textId="77777777" w:rsidR="005257BD" w:rsidRPr="00997B81" w:rsidRDefault="005257BD" w:rsidP="00DA2F46">
            <w:pPr>
              <w:rPr>
                <w:rFonts w:cs="Arial"/>
                <w:bCs/>
                <w:sz w:val="22"/>
                <w:szCs w:val="22"/>
              </w:rPr>
            </w:pPr>
          </w:p>
          <w:p w14:paraId="4F6494FB" w14:textId="77777777" w:rsidR="005257BD" w:rsidRPr="00997B81" w:rsidRDefault="005257BD" w:rsidP="00DA2F46">
            <w:pPr>
              <w:rPr>
                <w:rFonts w:cs="Arial"/>
                <w:b/>
                <w:bCs/>
                <w:sz w:val="22"/>
                <w:szCs w:val="22"/>
              </w:rPr>
            </w:pPr>
            <w:r w:rsidRPr="00997B81">
              <w:rPr>
                <w:rFonts w:cs="Arial"/>
                <w:b/>
                <w:bCs/>
                <w:sz w:val="22"/>
                <w:szCs w:val="22"/>
              </w:rPr>
              <w:t>3.1 Aims and objectives of service</w:t>
            </w:r>
          </w:p>
          <w:p w14:paraId="60B44B35" w14:textId="77777777" w:rsidR="005257BD" w:rsidRPr="00997B81" w:rsidRDefault="005257BD" w:rsidP="00DA2F46">
            <w:pPr>
              <w:rPr>
                <w:rFonts w:cs="Arial"/>
                <w:bCs/>
                <w:sz w:val="22"/>
                <w:szCs w:val="22"/>
              </w:rPr>
            </w:pPr>
          </w:p>
          <w:p w14:paraId="7FB60AEA" w14:textId="77777777" w:rsidR="005257BD" w:rsidRPr="00997B81" w:rsidRDefault="005257BD" w:rsidP="00DA2F46">
            <w:pPr>
              <w:pStyle w:val="NormalWeb"/>
              <w:spacing w:line="360" w:lineRule="atLeast"/>
              <w:rPr>
                <w:rFonts w:ascii="Arial" w:hAnsi="Arial" w:cs="Arial"/>
                <w:color w:val="0E0E0E"/>
                <w:sz w:val="22"/>
                <w:szCs w:val="22"/>
              </w:rPr>
            </w:pPr>
            <w:r w:rsidRPr="00997B81">
              <w:rPr>
                <w:rFonts w:ascii="Arial" w:hAnsi="Arial" w:cs="Arial"/>
                <w:color w:val="0E0E0E"/>
                <w:sz w:val="22"/>
                <w:szCs w:val="22"/>
              </w:rPr>
              <w:t xml:space="preserve">To reduce the transmission of blood-borne viruses and other infections caused by sharing injecting equipment. </w:t>
            </w:r>
          </w:p>
          <w:p w14:paraId="05CDAAF9" w14:textId="77777777" w:rsidR="005257BD" w:rsidRPr="00997B81" w:rsidRDefault="005257BD" w:rsidP="00DA2F46">
            <w:pPr>
              <w:pStyle w:val="NormalWeb"/>
              <w:spacing w:line="360" w:lineRule="atLeast"/>
              <w:rPr>
                <w:rFonts w:ascii="Arial" w:hAnsi="Arial" w:cs="Arial"/>
                <w:color w:val="0E0E0E"/>
                <w:sz w:val="22"/>
                <w:szCs w:val="22"/>
              </w:rPr>
            </w:pPr>
          </w:p>
          <w:p w14:paraId="3E24BE97" w14:textId="77777777" w:rsidR="005257BD" w:rsidRPr="00997B81" w:rsidRDefault="005257BD" w:rsidP="00DA2F46">
            <w:pPr>
              <w:pStyle w:val="NormalWeb"/>
              <w:spacing w:line="360" w:lineRule="atLeast"/>
              <w:rPr>
                <w:rFonts w:ascii="Arial" w:hAnsi="Arial" w:cs="Arial"/>
                <w:color w:val="0E0E0E"/>
                <w:sz w:val="22"/>
                <w:szCs w:val="22"/>
              </w:rPr>
            </w:pPr>
            <w:r w:rsidRPr="00997B81">
              <w:rPr>
                <w:rFonts w:ascii="Arial" w:hAnsi="Arial" w:cs="Arial"/>
                <w:color w:val="0E0E0E"/>
                <w:sz w:val="22"/>
                <w:szCs w:val="22"/>
              </w:rPr>
              <w:t>To do this the objectives include reducing harm caused by injecting drug use and provide:</w:t>
            </w:r>
          </w:p>
          <w:p w14:paraId="22B0802C" w14:textId="77777777" w:rsidR="005257BD" w:rsidRPr="00997B81" w:rsidRDefault="005257BD" w:rsidP="005257BD">
            <w:pPr>
              <w:pStyle w:val="NormalWeb"/>
              <w:numPr>
                <w:ilvl w:val="0"/>
                <w:numId w:val="2"/>
              </w:numPr>
              <w:spacing w:after="180" w:line="360" w:lineRule="atLeast"/>
              <w:ind w:left="360"/>
              <w:rPr>
                <w:rFonts w:ascii="Arial" w:hAnsi="Arial" w:cs="Arial"/>
                <w:color w:val="0E0E0E"/>
                <w:sz w:val="22"/>
                <w:szCs w:val="22"/>
              </w:rPr>
            </w:pPr>
            <w:r w:rsidRPr="00997B81">
              <w:rPr>
                <w:rFonts w:ascii="Arial" w:hAnsi="Arial" w:cs="Arial"/>
                <w:color w:val="0E0E0E"/>
                <w:sz w:val="22"/>
                <w:szCs w:val="22"/>
              </w:rPr>
              <w:t>advice on safer injecting practices</w:t>
            </w:r>
          </w:p>
          <w:p w14:paraId="6831DF3D" w14:textId="77777777" w:rsidR="005257BD" w:rsidRPr="00997B81" w:rsidRDefault="005257BD" w:rsidP="005257BD">
            <w:pPr>
              <w:pStyle w:val="NormalWeb"/>
              <w:numPr>
                <w:ilvl w:val="0"/>
                <w:numId w:val="2"/>
              </w:numPr>
              <w:spacing w:after="180" w:line="360" w:lineRule="atLeast"/>
              <w:ind w:left="360"/>
              <w:rPr>
                <w:rFonts w:ascii="Arial" w:hAnsi="Arial" w:cs="Arial"/>
                <w:color w:val="0E0E0E"/>
                <w:sz w:val="22"/>
                <w:szCs w:val="22"/>
              </w:rPr>
            </w:pPr>
            <w:r w:rsidRPr="00997B81">
              <w:rPr>
                <w:rFonts w:ascii="Arial" w:hAnsi="Arial" w:cs="Arial"/>
                <w:color w:val="0E0E0E"/>
                <w:sz w:val="22"/>
                <w:szCs w:val="22"/>
              </w:rPr>
              <w:t>advice on minimising the harm done by drugs, including image- and performance- enhancing drugs</w:t>
            </w:r>
          </w:p>
          <w:p w14:paraId="5C4E1D65" w14:textId="77777777" w:rsidR="005257BD" w:rsidRPr="00997B81" w:rsidRDefault="005257BD" w:rsidP="005257BD">
            <w:pPr>
              <w:pStyle w:val="NormalWeb"/>
              <w:numPr>
                <w:ilvl w:val="0"/>
                <w:numId w:val="2"/>
              </w:numPr>
              <w:spacing w:after="180" w:line="360" w:lineRule="atLeast"/>
              <w:ind w:left="360"/>
              <w:rPr>
                <w:rFonts w:ascii="Arial" w:hAnsi="Arial" w:cs="Arial"/>
                <w:color w:val="0E0E0E"/>
                <w:sz w:val="22"/>
                <w:szCs w:val="22"/>
              </w:rPr>
            </w:pPr>
            <w:r w:rsidRPr="00997B81">
              <w:rPr>
                <w:rFonts w:ascii="Arial" w:hAnsi="Arial" w:cs="Arial"/>
                <w:color w:val="0E0E0E"/>
                <w:sz w:val="22"/>
                <w:szCs w:val="22"/>
              </w:rPr>
              <w:t>advice on how to avoid and manage an overdose</w:t>
            </w:r>
          </w:p>
          <w:p w14:paraId="3BCA9DA8" w14:textId="77777777" w:rsidR="005257BD" w:rsidRPr="00997B81" w:rsidRDefault="005257BD" w:rsidP="005257BD">
            <w:pPr>
              <w:pStyle w:val="NormalWeb"/>
              <w:numPr>
                <w:ilvl w:val="0"/>
                <w:numId w:val="2"/>
              </w:numPr>
              <w:spacing w:after="180" w:line="360" w:lineRule="atLeast"/>
              <w:ind w:left="360"/>
              <w:rPr>
                <w:rFonts w:ascii="Arial" w:hAnsi="Arial" w:cs="Arial"/>
                <w:color w:val="0E0E0E"/>
                <w:sz w:val="22"/>
                <w:szCs w:val="22"/>
              </w:rPr>
            </w:pPr>
            <w:r w:rsidRPr="00997B81">
              <w:rPr>
                <w:rFonts w:ascii="Arial" w:hAnsi="Arial" w:cs="Arial"/>
                <w:color w:val="0E0E0E"/>
                <w:sz w:val="22"/>
                <w:szCs w:val="22"/>
              </w:rPr>
              <w:t>information on the safe handling and disposal of injecting equipment</w:t>
            </w:r>
          </w:p>
          <w:p w14:paraId="670F1A6F" w14:textId="77777777" w:rsidR="005257BD" w:rsidRPr="00997B81" w:rsidRDefault="005257BD" w:rsidP="005257BD">
            <w:pPr>
              <w:pStyle w:val="NormalWeb"/>
              <w:numPr>
                <w:ilvl w:val="0"/>
                <w:numId w:val="2"/>
              </w:numPr>
              <w:spacing w:after="180" w:line="360" w:lineRule="atLeast"/>
              <w:ind w:left="360"/>
              <w:rPr>
                <w:rFonts w:ascii="Arial" w:hAnsi="Arial" w:cs="Arial"/>
                <w:color w:val="0E0E0E"/>
                <w:sz w:val="22"/>
                <w:szCs w:val="22"/>
              </w:rPr>
            </w:pPr>
            <w:r w:rsidRPr="00997B81">
              <w:rPr>
                <w:rFonts w:ascii="Arial" w:hAnsi="Arial" w:cs="Arial"/>
                <w:color w:val="0E0E0E"/>
                <w:sz w:val="22"/>
                <w:szCs w:val="22"/>
              </w:rPr>
              <w:t xml:space="preserve">access to blood-borne virus testing, vaccination and treatment services </w:t>
            </w:r>
          </w:p>
          <w:p w14:paraId="4975FD73" w14:textId="77777777" w:rsidR="005257BD" w:rsidRPr="00997B81" w:rsidRDefault="005257BD" w:rsidP="005257BD">
            <w:pPr>
              <w:pStyle w:val="NormalWeb"/>
              <w:numPr>
                <w:ilvl w:val="0"/>
                <w:numId w:val="2"/>
              </w:numPr>
              <w:ind w:left="360"/>
              <w:jc w:val="both"/>
              <w:rPr>
                <w:rFonts w:ascii="Arial" w:hAnsi="Arial" w:cs="Arial"/>
                <w:bCs/>
                <w:sz w:val="22"/>
                <w:szCs w:val="22"/>
              </w:rPr>
            </w:pPr>
            <w:r w:rsidRPr="00997B81">
              <w:rPr>
                <w:rFonts w:ascii="Arial" w:hAnsi="Arial" w:cs="Arial"/>
                <w:color w:val="0E0E0E"/>
                <w:sz w:val="22"/>
                <w:szCs w:val="22"/>
              </w:rPr>
              <w:t>help to stop injecting drugs, including access to drug treatment (for example, opioid substitution therapy) and encouragement to switch to safer drug taking practices</w:t>
            </w:r>
          </w:p>
          <w:p w14:paraId="4E88F88C" w14:textId="77777777" w:rsidR="005257BD" w:rsidRPr="00997B81" w:rsidRDefault="005257BD" w:rsidP="00DA2F46">
            <w:pPr>
              <w:pStyle w:val="NormalWeb"/>
              <w:ind w:left="360"/>
              <w:jc w:val="both"/>
              <w:rPr>
                <w:rFonts w:ascii="Arial" w:hAnsi="Arial" w:cs="Arial"/>
                <w:bCs/>
                <w:sz w:val="22"/>
                <w:szCs w:val="22"/>
              </w:rPr>
            </w:pPr>
          </w:p>
          <w:p w14:paraId="77B3EF8B" w14:textId="77777777" w:rsidR="005257BD" w:rsidRPr="00997B81" w:rsidRDefault="005257BD" w:rsidP="005257BD">
            <w:pPr>
              <w:pStyle w:val="NormalWeb"/>
              <w:numPr>
                <w:ilvl w:val="0"/>
                <w:numId w:val="2"/>
              </w:numPr>
              <w:ind w:left="360"/>
              <w:jc w:val="both"/>
              <w:rPr>
                <w:rFonts w:ascii="Arial" w:hAnsi="Arial" w:cs="Arial"/>
                <w:bCs/>
                <w:sz w:val="22"/>
                <w:szCs w:val="22"/>
              </w:rPr>
            </w:pPr>
            <w:r w:rsidRPr="00997B81">
              <w:rPr>
                <w:rFonts w:ascii="Arial" w:hAnsi="Arial" w:cs="Arial"/>
                <w:bCs/>
                <w:sz w:val="22"/>
                <w:szCs w:val="22"/>
              </w:rPr>
              <w:t>To maximise the access and retention of all injectors, especially the highly socially excluded.</w:t>
            </w:r>
          </w:p>
          <w:p w14:paraId="4CF99BC9" w14:textId="77777777" w:rsidR="005257BD" w:rsidRPr="00997B81" w:rsidRDefault="005257BD" w:rsidP="00DA2F46">
            <w:pPr>
              <w:pStyle w:val="ListParagraph"/>
              <w:rPr>
                <w:rFonts w:cs="Arial"/>
                <w:bCs/>
                <w:sz w:val="22"/>
                <w:szCs w:val="22"/>
              </w:rPr>
            </w:pPr>
          </w:p>
          <w:p w14:paraId="1EDA4444" w14:textId="77777777" w:rsidR="005257BD" w:rsidRPr="00997B81" w:rsidRDefault="005257BD" w:rsidP="005257BD">
            <w:pPr>
              <w:pStyle w:val="NormalWeb"/>
              <w:numPr>
                <w:ilvl w:val="0"/>
                <w:numId w:val="2"/>
              </w:numPr>
              <w:ind w:left="360"/>
              <w:jc w:val="both"/>
              <w:rPr>
                <w:rFonts w:ascii="Arial" w:hAnsi="Arial" w:cs="Arial"/>
                <w:bCs/>
                <w:sz w:val="22"/>
                <w:szCs w:val="22"/>
              </w:rPr>
            </w:pPr>
            <w:r w:rsidRPr="00997B81">
              <w:rPr>
                <w:rFonts w:ascii="Arial" w:hAnsi="Arial" w:cs="Arial"/>
                <w:bCs/>
                <w:sz w:val="22"/>
                <w:szCs w:val="22"/>
              </w:rPr>
              <w:lastRenderedPageBreak/>
              <w:t>To help Service Users access other health and social care services and to act as a gateway to other services (e.g., key working, prescribing, Hepatitis B immunisation, Hepatitis and HIV Screening, Primary Care Services etc).</w:t>
            </w:r>
          </w:p>
          <w:p w14:paraId="36799ACD" w14:textId="77777777" w:rsidR="005257BD" w:rsidRPr="00997B81" w:rsidRDefault="005257BD" w:rsidP="00DA2F46">
            <w:pPr>
              <w:rPr>
                <w:rFonts w:cs="Arial"/>
                <w:bCs/>
                <w:sz w:val="22"/>
                <w:szCs w:val="22"/>
              </w:rPr>
            </w:pPr>
          </w:p>
          <w:p w14:paraId="723489DB" w14:textId="77777777" w:rsidR="005257BD" w:rsidRPr="00997B81" w:rsidRDefault="005257BD" w:rsidP="00DA2F46">
            <w:pPr>
              <w:rPr>
                <w:rFonts w:cs="Arial"/>
                <w:b/>
                <w:bCs/>
                <w:sz w:val="22"/>
                <w:szCs w:val="22"/>
              </w:rPr>
            </w:pPr>
            <w:r w:rsidRPr="00997B81">
              <w:rPr>
                <w:rFonts w:cs="Arial"/>
                <w:b/>
                <w:bCs/>
                <w:sz w:val="22"/>
                <w:szCs w:val="22"/>
              </w:rPr>
              <w:t>3.2 Service description/pathway</w:t>
            </w:r>
          </w:p>
          <w:p w14:paraId="6499792A" w14:textId="77777777" w:rsidR="005257BD" w:rsidRPr="00997B81" w:rsidRDefault="005257BD" w:rsidP="00DA2F46">
            <w:pPr>
              <w:rPr>
                <w:rFonts w:cs="Arial"/>
                <w:bCs/>
                <w:sz w:val="22"/>
                <w:szCs w:val="22"/>
              </w:rPr>
            </w:pPr>
          </w:p>
          <w:p w14:paraId="6ECA1B98" w14:textId="77777777" w:rsidR="005257BD" w:rsidRPr="00997B81" w:rsidRDefault="005257BD" w:rsidP="00DA2F46">
            <w:pPr>
              <w:rPr>
                <w:rFonts w:cs="Arial"/>
                <w:b/>
                <w:bCs/>
                <w:sz w:val="22"/>
                <w:szCs w:val="22"/>
              </w:rPr>
            </w:pPr>
            <w:r w:rsidRPr="00997B81">
              <w:rPr>
                <w:rFonts w:cs="Arial"/>
                <w:b/>
                <w:bCs/>
                <w:sz w:val="22"/>
                <w:szCs w:val="22"/>
              </w:rPr>
              <w:t>3.2.1 Service description</w:t>
            </w:r>
          </w:p>
          <w:p w14:paraId="5A91802B" w14:textId="77777777" w:rsidR="005257BD" w:rsidRPr="00997B81" w:rsidRDefault="005257BD" w:rsidP="00DA2F46">
            <w:pPr>
              <w:rPr>
                <w:rFonts w:cs="Arial"/>
                <w:bCs/>
                <w:sz w:val="22"/>
                <w:szCs w:val="22"/>
              </w:rPr>
            </w:pPr>
          </w:p>
          <w:p w14:paraId="1AEEC578" w14:textId="77777777" w:rsidR="005257BD" w:rsidRPr="00997B81" w:rsidRDefault="005257BD" w:rsidP="00DA2F46">
            <w:pPr>
              <w:rPr>
                <w:rFonts w:cs="Arial"/>
                <w:bCs/>
                <w:sz w:val="22"/>
                <w:szCs w:val="22"/>
              </w:rPr>
            </w:pPr>
            <w:r w:rsidRPr="00997B81">
              <w:rPr>
                <w:rFonts w:cs="Arial"/>
                <w:bCs/>
                <w:sz w:val="22"/>
                <w:szCs w:val="22"/>
              </w:rPr>
              <w:t xml:space="preserve">The Authority will provide the needles, syringes and associated materials and will commission a clinical waste disposal service for each </w:t>
            </w:r>
            <w:r w:rsidRPr="00997B81">
              <w:rPr>
                <w:rFonts w:cs="Arial"/>
                <w:bCs/>
                <w:sz w:val="22"/>
                <w:szCs w:val="22"/>
              </w:rPr>
              <w:tab/>
              <w:t>participating pharmacy. The frequency of waste collection will be agreed to ensure there is not an unacceptable build-up of clinical waste on the pharmacy premises.</w:t>
            </w:r>
          </w:p>
          <w:p w14:paraId="551A49E2" w14:textId="77777777" w:rsidR="005257BD" w:rsidRPr="00997B81" w:rsidRDefault="005257BD" w:rsidP="00DA2F46">
            <w:pPr>
              <w:rPr>
                <w:rFonts w:cs="Arial"/>
                <w:bCs/>
                <w:sz w:val="22"/>
                <w:szCs w:val="22"/>
              </w:rPr>
            </w:pPr>
          </w:p>
          <w:p w14:paraId="6C915344" w14:textId="77777777" w:rsidR="005257BD" w:rsidRPr="00997B81" w:rsidRDefault="005257BD" w:rsidP="00DA2F46">
            <w:pPr>
              <w:rPr>
                <w:rFonts w:cs="Arial"/>
                <w:bCs/>
                <w:sz w:val="22"/>
                <w:szCs w:val="22"/>
              </w:rPr>
            </w:pPr>
            <w:r w:rsidRPr="00997B81">
              <w:rPr>
                <w:rFonts w:cs="Arial"/>
                <w:bCs/>
                <w:sz w:val="22"/>
                <w:szCs w:val="22"/>
              </w:rPr>
              <w:t>The Provider will provide access to sterile needles and syringes, and sharps containers for return of used equipment and associated materials (for example condoms, citric acid and swabs) to promote safe injecting practices and reduce transmission of infections by Service Users. The Provider will provide advice relevant to the type of drug and injecting practices, especially higher risk practices such as injecting in the groin or neck.</w:t>
            </w:r>
          </w:p>
          <w:p w14:paraId="1E3454B0" w14:textId="77777777" w:rsidR="005257BD" w:rsidRPr="00997B81" w:rsidRDefault="005257BD" w:rsidP="00DA2F46">
            <w:pPr>
              <w:rPr>
                <w:rFonts w:cs="Arial"/>
                <w:bCs/>
                <w:sz w:val="22"/>
                <w:szCs w:val="22"/>
              </w:rPr>
            </w:pPr>
          </w:p>
          <w:p w14:paraId="58A19683" w14:textId="77777777" w:rsidR="005257BD" w:rsidRPr="00997B81" w:rsidRDefault="005257BD" w:rsidP="00DA2F46">
            <w:pPr>
              <w:rPr>
                <w:rFonts w:cs="Arial"/>
                <w:bCs/>
                <w:sz w:val="22"/>
                <w:szCs w:val="22"/>
              </w:rPr>
            </w:pPr>
            <w:r w:rsidRPr="00997B81">
              <w:rPr>
                <w:rFonts w:cs="Arial"/>
                <w:bCs/>
                <w:sz w:val="22"/>
                <w:szCs w:val="22"/>
              </w:rPr>
              <w:t>The Provider will offer a user-friendly, non-judgmental, Service User centred and confidential service. The Provider will ensure that Service Users receive adequate supplies which may include sufficient quantities to allow for secondary distribution. However, the Provider will encourage Service Users to promote direct access and further engagement for those in receipt of secondary supplies.</w:t>
            </w:r>
          </w:p>
          <w:p w14:paraId="4A1810BB" w14:textId="77777777" w:rsidR="005257BD" w:rsidRPr="00997B81" w:rsidRDefault="005257BD" w:rsidP="00DA2F46">
            <w:pPr>
              <w:rPr>
                <w:rFonts w:cs="Arial"/>
                <w:bCs/>
                <w:sz w:val="22"/>
                <w:szCs w:val="22"/>
              </w:rPr>
            </w:pPr>
          </w:p>
          <w:p w14:paraId="1846BA6A" w14:textId="77777777" w:rsidR="005257BD" w:rsidRPr="00997B81" w:rsidRDefault="005257BD" w:rsidP="00DA2F46">
            <w:pPr>
              <w:rPr>
                <w:rFonts w:cs="Arial"/>
                <w:bCs/>
                <w:sz w:val="22"/>
                <w:szCs w:val="22"/>
              </w:rPr>
            </w:pPr>
            <w:r w:rsidRPr="00997B81">
              <w:rPr>
                <w:rFonts w:cs="Arial"/>
                <w:bCs/>
                <w:sz w:val="22"/>
                <w:szCs w:val="22"/>
              </w:rPr>
              <w:t xml:space="preserve">Used equipment should be returned by the Service User for safe </w:t>
            </w:r>
            <w:r w:rsidRPr="00997B81">
              <w:rPr>
                <w:rFonts w:cs="Arial"/>
                <w:bCs/>
                <w:sz w:val="22"/>
                <w:szCs w:val="22"/>
              </w:rPr>
              <w:tab/>
              <w:t>disposal in sharps bins. If equipment is not returned, this should not restrict further supply, but the Provider must encourage safe practice and the return of supplies.</w:t>
            </w:r>
          </w:p>
          <w:p w14:paraId="6C6A3E3C" w14:textId="77777777" w:rsidR="005257BD" w:rsidRPr="00997B81" w:rsidRDefault="005257BD" w:rsidP="00DA2F46">
            <w:pPr>
              <w:rPr>
                <w:rFonts w:cs="Arial"/>
                <w:bCs/>
                <w:sz w:val="22"/>
                <w:szCs w:val="22"/>
              </w:rPr>
            </w:pPr>
          </w:p>
          <w:p w14:paraId="42E279CF" w14:textId="77777777" w:rsidR="005257BD" w:rsidRPr="00997B81" w:rsidRDefault="005257BD" w:rsidP="00DA2F46">
            <w:pPr>
              <w:rPr>
                <w:rFonts w:cs="Arial"/>
                <w:bCs/>
                <w:sz w:val="22"/>
                <w:szCs w:val="22"/>
              </w:rPr>
            </w:pPr>
            <w:r w:rsidRPr="00997B81">
              <w:rPr>
                <w:rFonts w:cs="Arial"/>
                <w:bCs/>
                <w:sz w:val="22"/>
                <w:szCs w:val="22"/>
              </w:rPr>
              <w:t>The Service User will be provided with appropriate health promotion materials.</w:t>
            </w:r>
          </w:p>
          <w:p w14:paraId="0567D757" w14:textId="77777777" w:rsidR="005257BD" w:rsidRPr="00997B81" w:rsidRDefault="005257BD" w:rsidP="00DA2F46">
            <w:pPr>
              <w:rPr>
                <w:rFonts w:cs="Arial"/>
                <w:bCs/>
                <w:sz w:val="22"/>
                <w:szCs w:val="22"/>
              </w:rPr>
            </w:pPr>
          </w:p>
          <w:p w14:paraId="7BBCCF9C" w14:textId="77777777" w:rsidR="005257BD" w:rsidRPr="00997B81" w:rsidRDefault="005257BD" w:rsidP="00DA2F46">
            <w:pPr>
              <w:rPr>
                <w:rFonts w:cs="Arial"/>
                <w:bCs/>
                <w:sz w:val="22"/>
                <w:szCs w:val="22"/>
              </w:rPr>
            </w:pPr>
            <w:r w:rsidRPr="00997B81">
              <w:rPr>
                <w:rFonts w:cs="Arial"/>
                <w:bCs/>
                <w:sz w:val="22"/>
                <w:szCs w:val="22"/>
              </w:rPr>
              <w:t>The Provider will provide support and advice to the Service User, including referral to other health and social care professionals and specialist drug and alcohol treatment services where appropriate.</w:t>
            </w:r>
          </w:p>
          <w:p w14:paraId="15759DEB" w14:textId="77777777" w:rsidR="005257BD" w:rsidRPr="00997B81" w:rsidRDefault="005257BD" w:rsidP="00DA2F46">
            <w:pPr>
              <w:rPr>
                <w:rFonts w:cs="Arial"/>
                <w:bCs/>
                <w:sz w:val="22"/>
                <w:szCs w:val="22"/>
              </w:rPr>
            </w:pPr>
          </w:p>
          <w:p w14:paraId="5C37F8CA" w14:textId="77777777" w:rsidR="005257BD" w:rsidRPr="00997B81" w:rsidRDefault="005257BD" w:rsidP="00DA2F46">
            <w:pPr>
              <w:rPr>
                <w:rFonts w:cs="Arial"/>
                <w:bCs/>
                <w:sz w:val="22"/>
                <w:szCs w:val="22"/>
              </w:rPr>
            </w:pPr>
            <w:r w:rsidRPr="00997B81">
              <w:rPr>
                <w:rFonts w:cs="Arial"/>
                <w:bCs/>
                <w:sz w:val="22"/>
                <w:szCs w:val="22"/>
              </w:rPr>
              <w:t>The Provider will promote safe practice to the Service User, including advice on sexual health and STIs, HIV and Hepatitis C transmission and Hepatitis B immunisation.</w:t>
            </w:r>
          </w:p>
          <w:p w14:paraId="6A5054F7" w14:textId="77777777" w:rsidR="005257BD" w:rsidRPr="00997B81" w:rsidRDefault="005257BD" w:rsidP="00DA2F46">
            <w:pPr>
              <w:rPr>
                <w:rFonts w:cs="Arial"/>
                <w:bCs/>
                <w:sz w:val="22"/>
                <w:szCs w:val="22"/>
              </w:rPr>
            </w:pPr>
          </w:p>
          <w:p w14:paraId="26D8840A" w14:textId="77777777" w:rsidR="005257BD" w:rsidRPr="00997B81" w:rsidRDefault="005257BD" w:rsidP="00DA2F46">
            <w:pPr>
              <w:rPr>
                <w:rFonts w:cs="Arial"/>
                <w:b/>
                <w:bCs/>
                <w:sz w:val="22"/>
                <w:szCs w:val="22"/>
              </w:rPr>
            </w:pPr>
            <w:r w:rsidRPr="00997B81">
              <w:rPr>
                <w:rFonts w:cs="Arial"/>
                <w:b/>
                <w:bCs/>
                <w:sz w:val="22"/>
                <w:szCs w:val="22"/>
              </w:rPr>
              <w:t>3.2.2 Procedure for supply of needle and syringe exchange materials</w:t>
            </w:r>
          </w:p>
          <w:p w14:paraId="5B4E3438" w14:textId="77777777" w:rsidR="005257BD" w:rsidRPr="00997B81" w:rsidRDefault="005257BD" w:rsidP="00DA2F46">
            <w:pPr>
              <w:rPr>
                <w:rFonts w:cs="Arial"/>
                <w:b/>
                <w:bCs/>
                <w:sz w:val="22"/>
                <w:szCs w:val="22"/>
              </w:rPr>
            </w:pPr>
          </w:p>
          <w:p w14:paraId="62363836" w14:textId="77777777" w:rsidR="005257BD" w:rsidRPr="00997B81" w:rsidRDefault="005257BD" w:rsidP="005257BD">
            <w:pPr>
              <w:numPr>
                <w:ilvl w:val="0"/>
                <w:numId w:val="3"/>
              </w:numPr>
              <w:suppressAutoHyphens w:val="0"/>
              <w:rPr>
                <w:rFonts w:cs="Arial"/>
                <w:sz w:val="22"/>
                <w:szCs w:val="22"/>
              </w:rPr>
            </w:pPr>
            <w:r w:rsidRPr="00997B81">
              <w:rPr>
                <w:rFonts w:cs="Arial"/>
                <w:color w:val="000000"/>
                <w:sz w:val="22"/>
                <w:szCs w:val="22"/>
              </w:rPr>
              <w:t>Health Care Assistant or outreach worker</w:t>
            </w:r>
            <w:r w:rsidRPr="00997B81">
              <w:rPr>
                <w:rFonts w:cs="Arial"/>
                <w:sz w:val="22"/>
                <w:szCs w:val="22"/>
              </w:rPr>
              <w:t xml:space="preserve"> to check in with pharmacies on a m</w:t>
            </w:r>
            <w:r w:rsidRPr="00997B81">
              <w:rPr>
                <w:rFonts w:cs="Arial"/>
                <w:color w:val="000000"/>
                <w:sz w:val="22"/>
                <w:szCs w:val="22"/>
              </w:rPr>
              <w:t>onthly</w:t>
            </w:r>
            <w:r w:rsidRPr="00997B81">
              <w:rPr>
                <w:rFonts w:cs="Arial"/>
                <w:sz w:val="22"/>
                <w:szCs w:val="22"/>
              </w:rPr>
              <w:t xml:space="preserve"> basis.</w:t>
            </w:r>
          </w:p>
          <w:p w14:paraId="551750B9" w14:textId="77777777" w:rsidR="005257BD" w:rsidRPr="00997B81" w:rsidRDefault="005257BD" w:rsidP="00DA2F46">
            <w:pPr>
              <w:rPr>
                <w:rFonts w:cs="Arial"/>
                <w:sz w:val="22"/>
                <w:szCs w:val="22"/>
              </w:rPr>
            </w:pPr>
          </w:p>
          <w:p w14:paraId="7A80B2A1" w14:textId="77777777" w:rsidR="005257BD" w:rsidRPr="00997B81" w:rsidRDefault="005257BD" w:rsidP="005257BD">
            <w:pPr>
              <w:numPr>
                <w:ilvl w:val="0"/>
                <w:numId w:val="3"/>
              </w:numPr>
              <w:suppressAutoHyphens w:val="0"/>
              <w:rPr>
                <w:rFonts w:cs="Arial"/>
                <w:sz w:val="22"/>
                <w:szCs w:val="22"/>
              </w:rPr>
            </w:pPr>
            <w:r w:rsidRPr="00997B81">
              <w:rPr>
                <w:rFonts w:cs="Arial"/>
                <w:sz w:val="22"/>
                <w:szCs w:val="22"/>
              </w:rPr>
              <w:t xml:space="preserve">If the pharmacy requires items for the needle exchange, </w:t>
            </w:r>
            <w:r w:rsidRPr="00997B81">
              <w:rPr>
                <w:rFonts w:cs="Arial"/>
                <w:color w:val="000000"/>
                <w:sz w:val="22"/>
                <w:szCs w:val="22"/>
              </w:rPr>
              <w:t>Health Care Assistant or Outreach worker</w:t>
            </w:r>
            <w:r w:rsidRPr="00997B81">
              <w:rPr>
                <w:rFonts w:cs="Arial"/>
                <w:sz w:val="22"/>
                <w:szCs w:val="22"/>
              </w:rPr>
              <w:t xml:space="preserve"> will fax order to Frontier Medical Group.</w:t>
            </w:r>
          </w:p>
          <w:p w14:paraId="3651BA22" w14:textId="77777777" w:rsidR="005257BD" w:rsidRPr="00997B81" w:rsidRDefault="005257BD" w:rsidP="00DA2F46">
            <w:pPr>
              <w:rPr>
                <w:rFonts w:cs="Arial"/>
                <w:sz w:val="22"/>
                <w:szCs w:val="22"/>
              </w:rPr>
            </w:pPr>
          </w:p>
          <w:p w14:paraId="785E76B3" w14:textId="77777777" w:rsidR="005257BD" w:rsidRPr="00997B81" w:rsidRDefault="005257BD" w:rsidP="005257BD">
            <w:pPr>
              <w:numPr>
                <w:ilvl w:val="0"/>
                <w:numId w:val="3"/>
              </w:numPr>
              <w:suppressAutoHyphens w:val="0"/>
              <w:rPr>
                <w:rFonts w:cs="Arial"/>
                <w:sz w:val="22"/>
                <w:szCs w:val="22"/>
              </w:rPr>
            </w:pPr>
            <w:r w:rsidRPr="00997B81">
              <w:rPr>
                <w:rFonts w:cs="Arial"/>
                <w:color w:val="000000"/>
                <w:sz w:val="22"/>
                <w:szCs w:val="22"/>
              </w:rPr>
              <w:t>Health care assistant</w:t>
            </w:r>
            <w:r w:rsidRPr="00997B81">
              <w:rPr>
                <w:rFonts w:cs="Arial"/>
                <w:sz w:val="22"/>
                <w:szCs w:val="22"/>
              </w:rPr>
              <w:t xml:space="preserve"> will assure pharmacy liaison is maintained on a q</w:t>
            </w:r>
            <w:r w:rsidRPr="00997B81">
              <w:rPr>
                <w:rFonts w:cs="Arial"/>
                <w:color w:val="000000"/>
                <w:sz w:val="22"/>
                <w:szCs w:val="22"/>
              </w:rPr>
              <w:t>uarterly</w:t>
            </w:r>
            <w:r w:rsidRPr="00997B81">
              <w:rPr>
                <w:rFonts w:cs="Arial"/>
                <w:sz w:val="22"/>
                <w:szCs w:val="22"/>
              </w:rPr>
              <w:t xml:space="preserve"> basis</w:t>
            </w:r>
            <w:r w:rsidRPr="00997B81">
              <w:rPr>
                <w:rFonts w:cs="Arial"/>
                <w:color w:val="000000"/>
                <w:sz w:val="22"/>
                <w:szCs w:val="22"/>
              </w:rPr>
              <w:t xml:space="preserve"> in form of face-to-face drop in. </w:t>
            </w:r>
          </w:p>
          <w:p w14:paraId="5AFCB4C0" w14:textId="77777777" w:rsidR="005257BD" w:rsidRPr="00997B81" w:rsidRDefault="005257BD" w:rsidP="00DA2F46">
            <w:pPr>
              <w:rPr>
                <w:rFonts w:cs="Arial"/>
                <w:sz w:val="22"/>
                <w:szCs w:val="22"/>
              </w:rPr>
            </w:pPr>
          </w:p>
          <w:p w14:paraId="2BAF102E" w14:textId="77777777" w:rsidR="005257BD" w:rsidRPr="00997B81" w:rsidRDefault="005257BD" w:rsidP="005257BD">
            <w:pPr>
              <w:numPr>
                <w:ilvl w:val="0"/>
                <w:numId w:val="3"/>
              </w:numPr>
              <w:suppressAutoHyphens w:val="0"/>
              <w:rPr>
                <w:rFonts w:cs="Arial"/>
                <w:sz w:val="22"/>
                <w:szCs w:val="22"/>
              </w:rPr>
            </w:pPr>
            <w:r w:rsidRPr="00997B81">
              <w:rPr>
                <w:rFonts w:cs="Arial"/>
                <w:sz w:val="22"/>
                <w:szCs w:val="22"/>
              </w:rPr>
              <w:t>The address of the pharmacy will be put on order form, for direct delivery to the pharmacy.</w:t>
            </w:r>
          </w:p>
          <w:p w14:paraId="760C73CC" w14:textId="77777777" w:rsidR="005257BD" w:rsidRPr="00997B81" w:rsidRDefault="005257BD" w:rsidP="00DA2F46">
            <w:pPr>
              <w:pStyle w:val="ListParagraph"/>
              <w:rPr>
                <w:rFonts w:cs="Arial"/>
                <w:sz w:val="22"/>
                <w:szCs w:val="22"/>
              </w:rPr>
            </w:pPr>
          </w:p>
          <w:p w14:paraId="56C35710" w14:textId="77777777" w:rsidR="005257BD" w:rsidRPr="00997B81" w:rsidRDefault="005257BD" w:rsidP="005257BD">
            <w:pPr>
              <w:numPr>
                <w:ilvl w:val="0"/>
                <w:numId w:val="3"/>
              </w:numPr>
              <w:suppressAutoHyphens w:val="0"/>
              <w:rPr>
                <w:rFonts w:cs="Arial"/>
                <w:sz w:val="22"/>
                <w:szCs w:val="22"/>
              </w:rPr>
            </w:pPr>
            <w:r w:rsidRPr="00997B81">
              <w:rPr>
                <w:rFonts w:cs="Arial"/>
                <w:sz w:val="22"/>
                <w:szCs w:val="22"/>
              </w:rPr>
              <w:t>Pharmacies should monitor their stock usage over each month in order to estimate their stock requirements for the following month. Although adequate levels of stock should be maintained, in order to avoid stock becoming out of date, pharmacies should avoid over ordering.</w:t>
            </w:r>
          </w:p>
          <w:p w14:paraId="1EEFE7B1" w14:textId="77777777" w:rsidR="005257BD" w:rsidRPr="00997B81" w:rsidRDefault="005257BD" w:rsidP="00DA2F46">
            <w:pPr>
              <w:pStyle w:val="ListParagraph"/>
              <w:rPr>
                <w:rFonts w:cs="Arial"/>
                <w:sz w:val="22"/>
                <w:szCs w:val="22"/>
              </w:rPr>
            </w:pPr>
          </w:p>
          <w:p w14:paraId="749833D6" w14:textId="77777777" w:rsidR="005257BD" w:rsidRPr="00997B81" w:rsidRDefault="005257BD" w:rsidP="00DA2F46">
            <w:pPr>
              <w:rPr>
                <w:rFonts w:cs="Arial"/>
                <w:sz w:val="22"/>
                <w:szCs w:val="22"/>
              </w:rPr>
            </w:pPr>
          </w:p>
          <w:p w14:paraId="0E097DF9" w14:textId="77777777" w:rsidR="005257BD" w:rsidRPr="00997B81" w:rsidRDefault="005257BD" w:rsidP="00DA2F46">
            <w:pPr>
              <w:tabs>
                <w:tab w:val="left" w:pos="3450"/>
              </w:tabs>
              <w:rPr>
                <w:rFonts w:cs="Arial"/>
                <w:sz w:val="22"/>
                <w:szCs w:val="22"/>
              </w:rPr>
            </w:pPr>
            <w:r w:rsidRPr="00997B81">
              <w:rPr>
                <w:rFonts w:cs="Arial"/>
                <w:sz w:val="22"/>
                <w:szCs w:val="22"/>
              </w:rPr>
              <w:t xml:space="preserve">For further information contact </w:t>
            </w:r>
            <w:hyperlink r:id="rId20" w:history="1">
              <w:r w:rsidRPr="00997B81">
                <w:rPr>
                  <w:rStyle w:val="Hyperlink"/>
                  <w:rFonts w:eastAsia="MS ??" w:cs="Arial"/>
                  <w:sz w:val="22"/>
                  <w:szCs w:val="22"/>
                </w:rPr>
                <w:t>Catherine.Shaw@cgl.org.uk</w:t>
              </w:r>
            </w:hyperlink>
            <w:r w:rsidRPr="00997B81">
              <w:rPr>
                <w:rFonts w:cs="Arial"/>
                <w:sz w:val="22"/>
                <w:szCs w:val="22"/>
              </w:rPr>
              <w:t xml:space="preserve"> or telephone 0151 546 9557 /0151 482 6291</w:t>
            </w:r>
            <w:r w:rsidRPr="00997B81">
              <w:rPr>
                <w:rFonts w:cs="Arial"/>
                <w:sz w:val="22"/>
                <w:szCs w:val="22"/>
              </w:rPr>
              <w:br w:type="page"/>
              <w:t>.</w:t>
            </w:r>
          </w:p>
          <w:p w14:paraId="1D327C38" w14:textId="77777777" w:rsidR="005257BD" w:rsidRPr="00997B81" w:rsidRDefault="005257BD" w:rsidP="00DA2F46">
            <w:pPr>
              <w:rPr>
                <w:rFonts w:cs="Arial"/>
                <w:bCs/>
                <w:sz w:val="22"/>
                <w:szCs w:val="22"/>
              </w:rPr>
            </w:pPr>
          </w:p>
          <w:p w14:paraId="34D4441D" w14:textId="77777777" w:rsidR="005257BD" w:rsidRPr="00997B81" w:rsidRDefault="005257BD" w:rsidP="00DA2F46">
            <w:pPr>
              <w:rPr>
                <w:rFonts w:cs="Arial"/>
                <w:b/>
                <w:bCs/>
                <w:sz w:val="22"/>
                <w:szCs w:val="22"/>
              </w:rPr>
            </w:pPr>
            <w:r w:rsidRPr="00997B81">
              <w:rPr>
                <w:rFonts w:cs="Arial"/>
                <w:b/>
                <w:bCs/>
                <w:sz w:val="22"/>
                <w:szCs w:val="22"/>
              </w:rPr>
              <w:t>3.2.3 Procedure for collection of needle and syringe exchange materials</w:t>
            </w:r>
          </w:p>
          <w:p w14:paraId="4E45E939" w14:textId="77777777" w:rsidR="005257BD" w:rsidRPr="00997B81" w:rsidRDefault="005257BD" w:rsidP="00DA2F46">
            <w:pPr>
              <w:rPr>
                <w:rFonts w:cs="Arial"/>
                <w:bCs/>
                <w:sz w:val="22"/>
                <w:szCs w:val="22"/>
              </w:rPr>
            </w:pPr>
          </w:p>
          <w:p w14:paraId="6B10FDA1" w14:textId="77777777" w:rsidR="005257BD" w:rsidRPr="00997B81" w:rsidRDefault="005257BD" w:rsidP="00DA2F46">
            <w:pPr>
              <w:rPr>
                <w:rFonts w:cs="Arial"/>
                <w:bCs/>
                <w:sz w:val="22"/>
                <w:szCs w:val="22"/>
              </w:rPr>
            </w:pPr>
            <w:r w:rsidRPr="00997B81">
              <w:rPr>
                <w:rFonts w:cs="Arial"/>
                <w:bCs/>
                <w:sz w:val="22"/>
                <w:szCs w:val="22"/>
              </w:rPr>
              <w:t>The Provider is required to fill out the attached ‘Clinical Waste Pre-Acceptance Audit’ form. This is a legal requirement and must be re-submitted every five years.</w:t>
            </w:r>
          </w:p>
          <w:p w14:paraId="05DF0619" w14:textId="77777777" w:rsidR="005257BD" w:rsidRPr="00997B81" w:rsidRDefault="005257BD" w:rsidP="00DA2F46">
            <w:pPr>
              <w:rPr>
                <w:rFonts w:cs="Arial"/>
                <w:bCs/>
                <w:sz w:val="22"/>
                <w:szCs w:val="22"/>
              </w:rPr>
            </w:pPr>
          </w:p>
          <w:bookmarkStart w:id="1" w:name="_MON_1640500200"/>
          <w:bookmarkEnd w:id="1"/>
          <w:p w14:paraId="57F9A341" w14:textId="77777777" w:rsidR="005257BD" w:rsidRPr="00997B81" w:rsidRDefault="005257BD" w:rsidP="00DA2F46">
            <w:pPr>
              <w:rPr>
                <w:rFonts w:cs="Arial"/>
                <w:bCs/>
                <w:sz w:val="22"/>
                <w:szCs w:val="22"/>
              </w:rPr>
            </w:pPr>
            <w:r>
              <w:rPr>
                <w:rFonts w:cs="Arial"/>
                <w:noProof/>
                <w:sz w:val="22"/>
                <w:szCs w:val="22"/>
              </w:rPr>
              <w:object w:dxaOrig="1508" w:dyaOrig="984" w14:anchorId="7533E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21" o:title=""/>
                </v:shape>
                <o:OLEObject Type="Embed" ProgID="Word.Document.8" ShapeID="_x0000_i1025" DrawAspect="Icon" ObjectID="_1758546750" r:id="rId22">
                  <o:FieldCodes>\s</o:FieldCodes>
                </o:OLEObject>
              </w:object>
            </w:r>
          </w:p>
          <w:p w14:paraId="1EF8DAF8" w14:textId="77777777" w:rsidR="005257BD" w:rsidRPr="00997B81" w:rsidRDefault="005257BD" w:rsidP="00DA2F46">
            <w:pPr>
              <w:rPr>
                <w:rFonts w:cs="Arial"/>
                <w:bCs/>
                <w:sz w:val="22"/>
                <w:szCs w:val="22"/>
              </w:rPr>
            </w:pPr>
          </w:p>
          <w:p w14:paraId="4BF51437" w14:textId="77777777" w:rsidR="005257BD" w:rsidRPr="00997B81" w:rsidRDefault="005257BD" w:rsidP="00DA2F46">
            <w:pPr>
              <w:rPr>
                <w:rFonts w:cs="Arial"/>
                <w:bCs/>
                <w:sz w:val="22"/>
                <w:szCs w:val="22"/>
              </w:rPr>
            </w:pPr>
            <w:r w:rsidRPr="00997B81">
              <w:rPr>
                <w:rFonts w:cs="Arial"/>
                <w:bCs/>
                <w:sz w:val="22"/>
                <w:szCs w:val="22"/>
              </w:rPr>
              <w:t xml:space="preserve">The Provider will return this form to the Councils Waste Management Service using the following email address: - </w:t>
            </w:r>
          </w:p>
          <w:p w14:paraId="14155DB2" w14:textId="77777777" w:rsidR="005257BD" w:rsidRPr="00997B81" w:rsidRDefault="005257BD" w:rsidP="00DA2F46">
            <w:pPr>
              <w:rPr>
                <w:rFonts w:cs="Arial"/>
                <w:bCs/>
                <w:sz w:val="22"/>
                <w:szCs w:val="22"/>
              </w:rPr>
            </w:pPr>
          </w:p>
          <w:p w14:paraId="12B835BB" w14:textId="77777777" w:rsidR="005257BD" w:rsidRPr="00997B81" w:rsidRDefault="005257BD" w:rsidP="00DA2F46">
            <w:pPr>
              <w:rPr>
                <w:rFonts w:cs="Arial"/>
                <w:color w:val="1F497D"/>
                <w:sz w:val="22"/>
                <w:szCs w:val="22"/>
              </w:rPr>
            </w:pPr>
            <w:hyperlink r:id="rId23" w:history="1">
              <w:r w:rsidRPr="00997B81">
                <w:rPr>
                  <w:rStyle w:val="Hyperlink"/>
                  <w:rFonts w:eastAsia="MS ??" w:cs="Arial"/>
                  <w:sz w:val="22"/>
                  <w:szCs w:val="22"/>
                  <w:lang w:val="en-US" w:eastAsia="en-GB"/>
                </w:rPr>
                <w:t>WasteandRecycling@knowsley.gov.uk</w:t>
              </w:r>
            </w:hyperlink>
          </w:p>
          <w:p w14:paraId="3FF20606" w14:textId="77777777" w:rsidR="005257BD" w:rsidRPr="00997B81" w:rsidRDefault="005257BD" w:rsidP="00DA2F46">
            <w:pPr>
              <w:rPr>
                <w:rFonts w:cs="Arial"/>
                <w:bCs/>
                <w:sz w:val="22"/>
                <w:szCs w:val="22"/>
              </w:rPr>
            </w:pPr>
            <w:r w:rsidRPr="00997B81">
              <w:rPr>
                <w:rFonts w:cs="Arial"/>
                <w:bCs/>
                <w:sz w:val="22"/>
                <w:szCs w:val="22"/>
              </w:rPr>
              <w:t xml:space="preserve">On acceptance, the provider will contact the service using the same email address or by calling 0151 443 2831 to arrange collections as and when required. </w:t>
            </w:r>
          </w:p>
          <w:p w14:paraId="42DDEBC5" w14:textId="77777777" w:rsidR="005257BD" w:rsidRPr="00997B81" w:rsidRDefault="005257BD" w:rsidP="00DA2F46">
            <w:pPr>
              <w:rPr>
                <w:rFonts w:cs="Arial"/>
                <w:bCs/>
                <w:sz w:val="22"/>
                <w:szCs w:val="22"/>
              </w:rPr>
            </w:pPr>
          </w:p>
          <w:p w14:paraId="56AACB5E" w14:textId="77777777" w:rsidR="005257BD" w:rsidRPr="00997B81" w:rsidRDefault="005257BD" w:rsidP="00DA2F46">
            <w:pPr>
              <w:rPr>
                <w:rFonts w:cs="Arial"/>
                <w:bCs/>
                <w:sz w:val="22"/>
                <w:szCs w:val="22"/>
              </w:rPr>
            </w:pPr>
            <w:r w:rsidRPr="00997B81">
              <w:rPr>
                <w:rFonts w:cs="Arial"/>
                <w:bCs/>
                <w:sz w:val="22"/>
                <w:szCs w:val="22"/>
              </w:rPr>
              <w:t xml:space="preserve">Collections are provided on Friday only and a minimum of 48 hours’ notice is required. </w:t>
            </w:r>
          </w:p>
          <w:p w14:paraId="7148B714" w14:textId="77777777" w:rsidR="005257BD" w:rsidRPr="00997B81" w:rsidRDefault="005257BD" w:rsidP="00DA2F46">
            <w:pPr>
              <w:rPr>
                <w:rFonts w:cs="Arial"/>
                <w:bCs/>
                <w:sz w:val="22"/>
                <w:szCs w:val="22"/>
              </w:rPr>
            </w:pPr>
          </w:p>
          <w:p w14:paraId="0DA4639E" w14:textId="77777777" w:rsidR="005257BD" w:rsidRPr="00997B81" w:rsidRDefault="005257BD" w:rsidP="00DA2F46">
            <w:pPr>
              <w:rPr>
                <w:rFonts w:cs="Arial"/>
                <w:b/>
                <w:bCs/>
                <w:sz w:val="22"/>
                <w:szCs w:val="22"/>
              </w:rPr>
            </w:pPr>
            <w:r w:rsidRPr="00997B81">
              <w:rPr>
                <w:rFonts w:cs="Arial"/>
                <w:b/>
                <w:bCs/>
                <w:sz w:val="22"/>
                <w:szCs w:val="22"/>
              </w:rPr>
              <w:t>3.3 Population covered</w:t>
            </w:r>
          </w:p>
          <w:p w14:paraId="768E66DB" w14:textId="77777777" w:rsidR="005257BD" w:rsidRPr="00997B81" w:rsidRDefault="005257BD" w:rsidP="00DA2F46">
            <w:pPr>
              <w:rPr>
                <w:rFonts w:cs="Arial"/>
                <w:bCs/>
                <w:sz w:val="22"/>
                <w:szCs w:val="22"/>
              </w:rPr>
            </w:pPr>
          </w:p>
          <w:p w14:paraId="500CE42E" w14:textId="77777777" w:rsidR="005257BD" w:rsidRPr="00997B81" w:rsidRDefault="005257BD" w:rsidP="00DA2F46">
            <w:pPr>
              <w:rPr>
                <w:rFonts w:cs="Arial"/>
                <w:bCs/>
                <w:sz w:val="22"/>
                <w:szCs w:val="22"/>
              </w:rPr>
            </w:pPr>
            <w:r w:rsidRPr="00997B81">
              <w:rPr>
                <w:rFonts w:cs="Arial"/>
                <w:bCs/>
                <w:sz w:val="22"/>
                <w:szCs w:val="22"/>
              </w:rPr>
              <w:t>This is an open access service.</w:t>
            </w:r>
          </w:p>
          <w:p w14:paraId="199AA609" w14:textId="77777777" w:rsidR="005257BD" w:rsidRPr="00997B81" w:rsidRDefault="005257BD" w:rsidP="00DA2F46">
            <w:pPr>
              <w:rPr>
                <w:rFonts w:cs="Arial"/>
                <w:bCs/>
                <w:sz w:val="22"/>
                <w:szCs w:val="22"/>
              </w:rPr>
            </w:pPr>
          </w:p>
          <w:p w14:paraId="5CE05B45" w14:textId="77777777" w:rsidR="005257BD" w:rsidRPr="00997B81" w:rsidRDefault="005257BD" w:rsidP="00DA2F46">
            <w:pPr>
              <w:suppressAutoHyphens w:val="0"/>
              <w:autoSpaceDE w:val="0"/>
              <w:autoSpaceDN w:val="0"/>
              <w:adjustRightInd w:val="0"/>
              <w:jc w:val="left"/>
              <w:rPr>
                <w:rFonts w:cs="Arial"/>
                <w:b/>
                <w:bCs/>
                <w:sz w:val="22"/>
                <w:szCs w:val="22"/>
                <w:lang w:eastAsia="en-GB"/>
              </w:rPr>
            </w:pPr>
            <w:r w:rsidRPr="00997B81">
              <w:rPr>
                <w:rFonts w:cs="Arial"/>
                <w:b/>
                <w:bCs/>
                <w:sz w:val="22"/>
                <w:szCs w:val="22"/>
                <w:lang w:eastAsia="en-GB"/>
              </w:rPr>
              <w:t xml:space="preserve">Population data collection &amp; Information Sharing </w:t>
            </w:r>
          </w:p>
          <w:p w14:paraId="261A4228" w14:textId="77777777" w:rsidR="005257BD" w:rsidRPr="00997B81" w:rsidRDefault="005257BD" w:rsidP="00DA2F46">
            <w:pPr>
              <w:suppressAutoHyphens w:val="0"/>
              <w:autoSpaceDE w:val="0"/>
              <w:autoSpaceDN w:val="0"/>
              <w:adjustRightInd w:val="0"/>
              <w:jc w:val="left"/>
              <w:rPr>
                <w:rFonts w:cs="Arial"/>
                <w:sz w:val="22"/>
                <w:szCs w:val="22"/>
                <w:lang w:eastAsia="en-GB"/>
              </w:rPr>
            </w:pPr>
          </w:p>
          <w:p w14:paraId="5868B512" w14:textId="77777777" w:rsidR="005257BD" w:rsidRPr="00997B81" w:rsidRDefault="005257BD" w:rsidP="00DA2F46">
            <w:pPr>
              <w:suppressAutoHyphens w:val="0"/>
              <w:autoSpaceDE w:val="0"/>
              <w:autoSpaceDN w:val="0"/>
              <w:adjustRightInd w:val="0"/>
              <w:jc w:val="left"/>
              <w:rPr>
                <w:rFonts w:cs="Arial"/>
                <w:sz w:val="22"/>
                <w:szCs w:val="22"/>
                <w:lang w:eastAsia="en-GB"/>
              </w:rPr>
            </w:pPr>
            <w:r w:rsidRPr="00997B81">
              <w:rPr>
                <w:rFonts w:cs="Arial"/>
                <w:sz w:val="22"/>
                <w:szCs w:val="22"/>
                <w:lang w:eastAsia="en-GB"/>
              </w:rPr>
              <w:t xml:space="preserve">The </w:t>
            </w:r>
            <w:r>
              <w:rPr>
                <w:rFonts w:cs="Arial"/>
                <w:sz w:val="22"/>
                <w:szCs w:val="22"/>
                <w:lang w:eastAsia="en-GB"/>
              </w:rPr>
              <w:t>Provider</w:t>
            </w:r>
            <w:r w:rsidRPr="00997B81">
              <w:rPr>
                <w:rFonts w:cs="Arial"/>
                <w:sz w:val="22"/>
                <w:szCs w:val="22"/>
                <w:lang w:eastAsia="en-GB"/>
              </w:rPr>
              <w:t xml:space="preserve"> is required to ensure that wherever possible, for all clients attending the NSP that the relevant </w:t>
            </w:r>
            <w:proofErr w:type="spellStart"/>
            <w:r w:rsidRPr="00997B81">
              <w:rPr>
                <w:rFonts w:cs="Arial"/>
                <w:sz w:val="22"/>
                <w:szCs w:val="22"/>
                <w:lang w:eastAsia="en-GB"/>
              </w:rPr>
              <w:t>PharmOutcomes</w:t>
            </w:r>
            <w:proofErr w:type="spellEnd"/>
            <w:r w:rsidRPr="00997B81">
              <w:rPr>
                <w:rFonts w:cs="Arial"/>
                <w:sz w:val="22"/>
                <w:szCs w:val="22"/>
                <w:lang w:eastAsia="en-GB"/>
              </w:rPr>
              <w:t xml:space="preserve"> form is completed which will include: -</w:t>
            </w:r>
          </w:p>
          <w:p w14:paraId="43F76AC0" w14:textId="77777777" w:rsidR="005257BD" w:rsidRPr="00997B81" w:rsidRDefault="005257BD" w:rsidP="005257BD">
            <w:pPr>
              <w:pStyle w:val="ListParagraph"/>
              <w:numPr>
                <w:ilvl w:val="0"/>
                <w:numId w:val="5"/>
              </w:numPr>
              <w:suppressAutoHyphens w:val="0"/>
              <w:autoSpaceDE w:val="0"/>
              <w:autoSpaceDN w:val="0"/>
              <w:adjustRightInd w:val="0"/>
              <w:jc w:val="left"/>
              <w:rPr>
                <w:rFonts w:cs="Arial"/>
                <w:sz w:val="22"/>
                <w:szCs w:val="22"/>
                <w:lang w:eastAsia="en-GB"/>
              </w:rPr>
            </w:pPr>
            <w:r w:rsidRPr="00997B81">
              <w:rPr>
                <w:rFonts w:cs="Arial"/>
                <w:sz w:val="22"/>
                <w:szCs w:val="22"/>
                <w:lang w:eastAsia="en-GB"/>
              </w:rPr>
              <w:t xml:space="preserve"> Date of supply</w:t>
            </w:r>
          </w:p>
          <w:p w14:paraId="05C72138" w14:textId="77777777" w:rsidR="005257BD" w:rsidRPr="00997B81" w:rsidRDefault="005257BD" w:rsidP="005257BD">
            <w:pPr>
              <w:pStyle w:val="ListParagraph"/>
              <w:numPr>
                <w:ilvl w:val="0"/>
                <w:numId w:val="5"/>
              </w:numPr>
              <w:suppressAutoHyphens w:val="0"/>
              <w:autoSpaceDE w:val="0"/>
              <w:autoSpaceDN w:val="0"/>
              <w:adjustRightInd w:val="0"/>
              <w:jc w:val="left"/>
              <w:rPr>
                <w:rFonts w:cs="Arial"/>
                <w:sz w:val="22"/>
                <w:szCs w:val="22"/>
                <w:lang w:eastAsia="en-GB"/>
              </w:rPr>
            </w:pPr>
            <w:r w:rsidRPr="00997B81">
              <w:rPr>
                <w:rFonts w:cs="Arial"/>
                <w:sz w:val="22"/>
                <w:szCs w:val="22"/>
                <w:lang w:eastAsia="en-GB"/>
              </w:rPr>
              <w:t xml:space="preserve"> Postcode</w:t>
            </w:r>
          </w:p>
          <w:p w14:paraId="4352102D" w14:textId="77777777" w:rsidR="005257BD" w:rsidRPr="00997B81" w:rsidRDefault="005257BD" w:rsidP="005257BD">
            <w:pPr>
              <w:pStyle w:val="ListParagraph"/>
              <w:numPr>
                <w:ilvl w:val="0"/>
                <w:numId w:val="5"/>
              </w:numPr>
              <w:suppressAutoHyphens w:val="0"/>
              <w:autoSpaceDE w:val="0"/>
              <w:autoSpaceDN w:val="0"/>
              <w:adjustRightInd w:val="0"/>
              <w:jc w:val="left"/>
              <w:rPr>
                <w:rFonts w:cs="Arial"/>
                <w:sz w:val="22"/>
                <w:szCs w:val="22"/>
                <w:lang w:eastAsia="en-GB"/>
              </w:rPr>
            </w:pPr>
            <w:r w:rsidRPr="00997B81">
              <w:rPr>
                <w:rFonts w:cs="Arial"/>
                <w:sz w:val="22"/>
                <w:szCs w:val="22"/>
                <w:lang w:eastAsia="en-GB"/>
              </w:rPr>
              <w:t xml:space="preserve"> Initials</w:t>
            </w:r>
          </w:p>
          <w:p w14:paraId="3E4355FB" w14:textId="77777777" w:rsidR="005257BD" w:rsidRPr="00997B81" w:rsidRDefault="005257BD" w:rsidP="005257BD">
            <w:pPr>
              <w:pStyle w:val="ListParagraph"/>
              <w:numPr>
                <w:ilvl w:val="0"/>
                <w:numId w:val="5"/>
              </w:numPr>
              <w:suppressAutoHyphens w:val="0"/>
              <w:autoSpaceDE w:val="0"/>
              <w:autoSpaceDN w:val="0"/>
              <w:adjustRightInd w:val="0"/>
              <w:jc w:val="left"/>
              <w:rPr>
                <w:rFonts w:cs="Arial"/>
                <w:sz w:val="22"/>
                <w:szCs w:val="22"/>
                <w:lang w:eastAsia="en-GB"/>
              </w:rPr>
            </w:pPr>
            <w:r w:rsidRPr="00997B81">
              <w:rPr>
                <w:rFonts w:cs="Arial"/>
                <w:sz w:val="22"/>
                <w:szCs w:val="22"/>
                <w:lang w:eastAsia="en-GB"/>
              </w:rPr>
              <w:t xml:space="preserve"> Gender</w:t>
            </w:r>
          </w:p>
          <w:p w14:paraId="38464A89" w14:textId="77777777" w:rsidR="005257BD" w:rsidRPr="00997B81" w:rsidRDefault="005257BD" w:rsidP="005257BD">
            <w:pPr>
              <w:pStyle w:val="ListParagraph"/>
              <w:numPr>
                <w:ilvl w:val="0"/>
                <w:numId w:val="5"/>
              </w:numPr>
              <w:suppressAutoHyphens w:val="0"/>
              <w:autoSpaceDE w:val="0"/>
              <w:autoSpaceDN w:val="0"/>
              <w:adjustRightInd w:val="0"/>
              <w:jc w:val="left"/>
              <w:rPr>
                <w:rFonts w:cs="Arial"/>
                <w:sz w:val="22"/>
                <w:szCs w:val="22"/>
                <w:lang w:eastAsia="en-GB"/>
              </w:rPr>
            </w:pPr>
            <w:r w:rsidRPr="00997B81">
              <w:rPr>
                <w:rFonts w:cs="Arial"/>
                <w:sz w:val="22"/>
                <w:szCs w:val="22"/>
                <w:lang w:eastAsia="en-GB"/>
              </w:rPr>
              <w:t xml:space="preserve"> Date of birth</w:t>
            </w:r>
          </w:p>
          <w:p w14:paraId="7BA64720" w14:textId="77777777" w:rsidR="005257BD" w:rsidRPr="00997B81" w:rsidRDefault="005257BD" w:rsidP="005257BD">
            <w:pPr>
              <w:pStyle w:val="ListParagraph"/>
              <w:numPr>
                <w:ilvl w:val="0"/>
                <w:numId w:val="5"/>
              </w:numPr>
              <w:suppressAutoHyphens w:val="0"/>
              <w:autoSpaceDE w:val="0"/>
              <w:autoSpaceDN w:val="0"/>
              <w:adjustRightInd w:val="0"/>
              <w:jc w:val="left"/>
              <w:rPr>
                <w:rFonts w:cs="Arial"/>
                <w:sz w:val="22"/>
                <w:szCs w:val="22"/>
                <w:lang w:eastAsia="en-GB"/>
              </w:rPr>
            </w:pPr>
            <w:r w:rsidRPr="00997B81">
              <w:rPr>
                <w:rFonts w:cs="Arial"/>
                <w:sz w:val="22"/>
                <w:szCs w:val="22"/>
                <w:lang w:eastAsia="en-GB"/>
              </w:rPr>
              <w:t xml:space="preserve"> Number of and detail of the NSP equipment provided</w:t>
            </w:r>
          </w:p>
          <w:p w14:paraId="3503A344" w14:textId="77777777" w:rsidR="005257BD" w:rsidRPr="00997B81" w:rsidRDefault="005257BD" w:rsidP="005257BD">
            <w:pPr>
              <w:pStyle w:val="ListParagraph"/>
              <w:numPr>
                <w:ilvl w:val="0"/>
                <w:numId w:val="5"/>
              </w:numPr>
              <w:suppressAutoHyphens w:val="0"/>
              <w:autoSpaceDE w:val="0"/>
              <w:autoSpaceDN w:val="0"/>
              <w:adjustRightInd w:val="0"/>
              <w:jc w:val="left"/>
              <w:rPr>
                <w:rFonts w:cs="Arial"/>
                <w:sz w:val="22"/>
                <w:szCs w:val="22"/>
                <w:lang w:eastAsia="en-GB"/>
              </w:rPr>
            </w:pPr>
            <w:r w:rsidRPr="00997B81">
              <w:rPr>
                <w:rFonts w:cs="Arial"/>
                <w:sz w:val="22"/>
                <w:szCs w:val="22"/>
                <w:lang w:eastAsia="en-GB"/>
              </w:rPr>
              <w:t xml:space="preserve"> Number of sharps bins returned</w:t>
            </w:r>
          </w:p>
          <w:p w14:paraId="679B3F4B" w14:textId="77777777" w:rsidR="005257BD" w:rsidRPr="00997B81" w:rsidRDefault="005257BD" w:rsidP="005257BD">
            <w:pPr>
              <w:pStyle w:val="ListParagraph"/>
              <w:numPr>
                <w:ilvl w:val="0"/>
                <w:numId w:val="5"/>
              </w:numPr>
              <w:rPr>
                <w:rFonts w:cs="Arial"/>
                <w:bCs/>
                <w:sz w:val="22"/>
                <w:szCs w:val="22"/>
              </w:rPr>
            </w:pPr>
            <w:r w:rsidRPr="00997B81">
              <w:rPr>
                <w:rFonts w:cs="Arial"/>
                <w:sz w:val="22"/>
                <w:szCs w:val="22"/>
                <w:lang w:eastAsia="en-GB"/>
              </w:rPr>
              <w:t xml:space="preserve"> Brief harm minimisation and health promotions delivered</w:t>
            </w:r>
          </w:p>
          <w:p w14:paraId="49D8070C" w14:textId="77777777" w:rsidR="005257BD" w:rsidRPr="00997B81" w:rsidRDefault="005257BD" w:rsidP="00DA2F46">
            <w:pPr>
              <w:pStyle w:val="ListParagraph"/>
              <w:rPr>
                <w:rFonts w:cs="Arial"/>
                <w:bCs/>
                <w:sz w:val="22"/>
                <w:szCs w:val="22"/>
              </w:rPr>
            </w:pPr>
          </w:p>
          <w:p w14:paraId="7F933949" w14:textId="77777777" w:rsidR="005257BD" w:rsidRPr="00997B81" w:rsidRDefault="005257BD" w:rsidP="00DA2F46">
            <w:pPr>
              <w:suppressAutoHyphens w:val="0"/>
              <w:autoSpaceDE w:val="0"/>
              <w:autoSpaceDN w:val="0"/>
              <w:adjustRightInd w:val="0"/>
              <w:rPr>
                <w:rFonts w:cs="Arial"/>
                <w:sz w:val="22"/>
                <w:szCs w:val="22"/>
                <w:lang w:eastAsia="en-GB"/>
              </w:rPr>
            </w:pPr>
            <w:r w:rsidRPr="00997B81">
              <w:rPr>
                <w:rFonts w:cs="Arial"/>
                <w:sz w:val="22"/>
                <w:szCs w:val="22"/>
                <w:lang w:eastAsia="en-GB"/>
              </w:rPr>
              <w:t>Non-provision of this information should not prevent a patient from accessing a NSP service.</w:t>
            </w:r>
          </w:p>
          <w:p w14:paraId="4E09B53B" w14:textId="77777777" w:rsidR="005257BD" w:rsidRPr="00997B81" w:rsidRDefault="005257BD" w:rsidP="00DA2F46">
            <w:pPr>
              <w:suppressAutoHyphens w:val="0"/>
              <w:autoSpaceDE w:val="0"/>
              <w:autoSpaceDN w:val="0"/>
              <w:adjustRightInd w:val="0"/>
              <w:rPr>
                <w:rFonts w:cs="Arial"/>
                <w:sz w:val="22"/>
                <w:szCs w:val="22"/>
                <w:lang w:eastAsia="en-GB"/>
              </w:rPr>
            </w:pPr>
          </w:p>
          <w:p w14:paraId="657A8142" w14:textId="77777777" w:rsidR="005257BD" w:rsidRPr="00997B81" w:rsidRDefault="005257BD" w:rsidP="005257BD">
            <w:pPr>
              <w:pStyle w:val="ListParagraph"/>
              <w:numPr>
                <w:ilvl w:val="0"/>
                <w:numId w:val="7"/>
              </w:numPr>
              <w:suppressAutoHyphens w:val="0"/>
              <w:autoSpaceDE w:val="0"/>
              <w:autoSpaceDN w:val="0"/>
              <w:adjustRightInd w:val="0"/>
              <w:rPr>
                <w:rFonts w:cs="Arial"/>
                <w:sz w:val="22"/>
                <w:szCs w:val="22"/>
                <w:lang w:eastAsia="en-GB"/>
              </w:rPr>
            </w:pPr>
            <w:r w:rsidRPr="00997B81">
              <w:rPr>
                <w:rFonts w:cs="Arial"/>
                <w:sz w:val="22"/>
                <w:szCs w:val="22"/>
                <w:lang w:eastAsia="en-GB"/>
              </w:rPr>
              <w:t xml:space="preserve">Internet access must be available for input of data onto </w:t>
            </w:r>
            <w:proofErr w:type="spellStart"/>
            <w:r w:rsidRPr="00997B81">
              <w:rPr>
                <w:rFonts w:cs="Arial"/>
                <w:sz w:val="22"/>
                <w:szCs w:val="22"/>
                <w:lang w:eastAsia="en-GB"/>
              </w:rPr>
              <w:t>PharmOutcomes</w:t>
            </w:r>
            <w:proofErr w:type="spellEnd"/>
            <w:r w:rsidRPr="00997B81">
              <w:rPr>
                <w:rFonts w:cs="Arial"/>
                <w:sz w:val="22"/>
                <w:szCs w:val="22"/>
                <w:lang w:eastAsia="en-GB"/>
              </w:rPr>
              <w:t>.</w:t>
            </w:r>
          </w:p>
          <w:p w14:paraId="27BD9F3D" w14:textId="77777777" w:rsidR="005257BD" w:rsidRPr="00997B81" w:rsidRDefault="005257BD" w:rsidP="00DA2F46">
            <w:pPr>
              <w:suppressAutoHyphens w:val="0"/>
              <w:autoSpaceDE w:val="0"/>
              <w:autoSpaceDN w:val="0"/>
              <w:adjustRightInd w:val="0"/>
              <w:rPr>
                <w:rFonts w:cs="Arial"/>
                <w:sz w:val="22"/>
                <w:szCs w:val="22"/>
                <w:lang w:eastAsia="en-GB"/>
              </w:rPr>
            </w:pPr>
          </w:p>
          <w:p w14:paraId="3092ADF8" w14:textId="77777777" w:rsidR="005257BD" w:rsidRPr="00997B81" w:rsidRDefault="005257BD" w:rsidP="005257BD">
            <w:pPr>
              <w:pStyle w:val="ListParagraph"/>
              <w:numPr>
                <w:ilvl w:val="0"/>
                <w:numId w:val="7"/>
              </w:numPr>
              <w:suppressAutoHyphens w:val="0"/>
              <w:autoSpaceDE w:val="0"/>
              <w:autoSpaceDN w:val="0"/>
              <w:adjustRightInd w:val="0"/>
              <w:rPr>
                <w:rFonts w:cs="Arial"/>
                <w:sz w:val="22"/>
                <w:szCs w:val="22"/>
                <w:lang w:eastAsia="en-GB"/>
              </w:rPr>
            </w:pPr>
            <w:r w:rsidRPr="00997B81">
              <w:rPr>
                <w:rFonts w:cs="Arial"/>
                <w:sz w:val="22"/>
                <w:szCs w:val="22"/>
                <w:lang w:eastAsia="en-GB"/>
              </w:rPr>
              <w:t>This is excepting in circumstances were withholding information or seeking the service user’s permission to share may put others at risk (e.g., in certain Child Protection or Safeguarding situations).</w:t>
            </w:r>
          </w:p>
          <w:p w14:paraId="0628CF86" w14:textId="77777777" w:rsidR="005257BD" w:rsidRPr="00997B81" w:rsidRDefault="005257BD" w:rsidP="00DA2F46">
            <w:pPr>
              <w:suppressAutoHyphens w:val="0"/>
              <w:autoSpaceDE w:val="0"/>
              <w:autoSpaceDN w:val="0"/>
              <w:adjustRightInd w:val="0"/>
              <w:rPr>
                <w:rFonts w:cs="Arial"/>
                <w:sz w:val="22"/>
                <w:szCs w:val="22"/>
                <w:lang w:eastAsia="en-GB"/>
              </w:rPr>
            </w:pPr>
          </w:p>
          <w:p w14:paraId="66AE05A5" w14:textId="77777777" w:rsidR="005257BD" w:rsidRPr="00997B81" w:rsidRDefault="005257BD" w:rsidP="00DA2F46">
            <w:pPr>
              <w:rPr>
                <w:rFonts w:cs="Arial"/>
                <w:sz w:val="22"/>
                <w:szCs w:val="22"/>
              </w:rPr>
            </w:pPr>
            <w:r w:rsidRPr="00A700DA">
              <w:rPr>
                <w:rFonts w:cs="Arial"/>
                <w:sz w:val="22"/>
                <w:szCs w:val="22"/>
                <w:lang w:eastAsia="en-GB"/>
              </w:rPr>
              <w:t xml:space="preserve">Pharmacists promote and facilitate referrals to additional sources of support and advice needed, including provision of </w:t>
            </w:r>
            <w:proofErr w:type="gramStart"/>
            <w:r w:rsidRPr="00A700DA">
              <w:rPr>
                <w:rFonts w:cs="Arial"/>
                <w:sz w:val="22"/>
                <w:szCs w:val="22"/>
                <w:lang w:eastAsia="en-GB"/>
              </w:rPr>
              <w:t>pathways  into</w:t>
            </w:r>
            <w:proofErr w:type="gramEnd"/>
            <w:r w:rsidRPr="00A700DA">
              <w:rPr>
                <w:rFonts w:cs="Arial"/>
                <w:sz w:val="22"/>
                <w:szCs w:val="22"/>
                <w:lang w:eastAsia="en-GB"/>
              </w:rPr>
              <w:t xml:space="preserve"> </w:t>
            </w:r>
            <w:proofErr w:type="spellStart"/>
            <w:r w:rsidRPr="00A700DA">
              <w:rPr>
                <w:rFonts w:cs="Arial"/>
                <w:sz w:val="22"/>
                <w:szCs w:val="22"/>
                <w:lang w:eastAsia="en-GB"/>
              </w:rPr>
              <w:t>e.g</w:t>
            </w:r>
            <w:proofErr w:type="spellEnd"/>
            <w:r w:rsidRPr="00A700DA">
              <w:rPr>
                <w:rFonts w:cs="Arial"/>
                <w:sz w:val="22"/>
                <w:szCs w:val="22"/>
                <w:lang w:eastAsia="en-GB"/>
              </w:rPr>
              <w:t xml:space="preserve"> specialist substance misuse treatment services, primary care, dentistry, sexual health, mental health and outreach, homeless and hostel services. </w:t>
            </w:r>
          </w:p>
          <w:p w14:paraId="3D1B6D19" w14:textId="77777777" w:rsidR="005257BD" w:rsidRPr="00997B81" w:rsidRDefault="005257BD" w:rsidP="00DA2F46">
            <w:pPr>
              <w:rPr>
                <w:rFonts w:cs="Arial"/>
                <w:bCs/>
                <w:sz w:val="22"/>
                <w:szCs w:val="22"/>
              </w:rPr>
            </w:pPr>
          </w:p>
          <w:p w14:paraId="60352FF9" w14:textId="77777777" w:rsidR="005257BD" w:rsidRPr="00997B81" w:rsidRDefault="005257BD" w:rsidP="00DA2F46">
            <w:pPr>
              <w:rPr>
                <w:rFonts w:cs="Arial"/>
                <w:b/>
                <w:bCs/>
                <w:sz w:val="22"/>
                <w:szCs w:val="22"/>
              </w:rPr>
            </w:pPr>
            <w:r w:rsidRPr="00997B81">
              <w:rPr>
                <w:rFonts w:cs="Arial"/>
                <w:b/>
                <w:bCs/>
                <w:sz w:val="22"/>
                <w:szCs w:val="22"/>
              </w:rPr>
              <w:t>3.4 Any acceptance and exclusion criteria and thresholds</w:t>
            </w:r>
          </w:p>
          <w:p w14:paraId="737E3FC4" w14:textId="77777777" w:rsidR="005257BD" w:rsidRPr="00997B81" w:rsidRDefault="005257BD" w:rsidP="00DA2F46">
            <w:pPr>
              <w:rPr>
                <w:rFonts w:cs="Arial"/>
                <w:bCs/>
                <w:sz w:val="22"/>
                <w:szCs w:val="22"/>
              </w:rPr>
            </w:pPr>
          </w:p>
          <w:p w14:paraId="4D613A03" w14:textId="77777777" w:rsidR="005257BD" w:rsidRPr="00997B81" w:rsidRDefault="005257BD" w:rsidP="00DA2F46">
            <w:pPr>
              <w:rPr>
                <w:rFonts w:cs="Arial"/>
                <w:bCs/>
                <w:sz w:val="22"/>
                <w:szCs w:val="22"/>
              </w:rPr>
            </w:pPr>
            <w:r w:rsidRPr="00997B81">
              <w:rPr>
                <w:rFonts w:cs="Arial"/>
                <w:bCs/>
                <w:sz w:val="22"/>
                <w:szCs w:val="22"/>
              </w:rPr>
              <w:t>None.</w:t>
            </w:r>
          </w:p>
          <w:p w14:paraId="25FB7004" w14:textId="77777777" w:rsidR="005257BD" w:rsidRPr="00997B81" w:rsidRDefault="005257BD" w:rsidP="00DA2F46">
            <w:pPr>
              <w:rPr>
                <w:rFonts w:cs="Arial"/>
                <w:bCs/>
                <w:sz w:val="22"/>
                <w:szCs w:val="22"/>
              </w:rPr>
            </w:pPr>
          </w:p>
          <w:p w14:paraId="3A0504A6" w14:textId="77777777" w:rsidR="005257BD" w:rsidRPr="00997B81" w:rsidRDefault="005257BD" w:rsidP="00DA2F46">
            <w:pPr>
              <w:rPr>
                <w:rFonts w:cs="Arial"/>
                <w:b/>
                <w:bCs/>
                <w:sz w:val="22"/>
                <w:szCs w:val="22"/>
              </w:rPr>
            </w:pPr>
            <w:r w:rsidRPr="00997B81">
              <w:rPr>
                <w:rFonts w:cs="Arial"/>
                <w:b/>
                <w:bCs/>
                <w:sz w:val="22"/>
                <w:szCs w:val="22"/>
              </w:rPr>
              <w:t>3.5 Interdependencies with other services</w:t>
            </w:r>
          </w:p>
          <w:p w14:paraId="6D901ACF" w14:textId="77777777" w:rsidR="005257BD" w:rsidRPr="00997B81" w:rsidRDefault="005257BD" w:rsidP="00DA2F46">
            <w:pPr>
              <w:rPr>
                <w:rFonts w:cs="Arial"/>
                <w:bCs/>
                <w:sz w:val="22"/>
                <w:szCs w:val="22"/>
              </w:rPr>
            </w:pPr>
          </w:p>
          <w:p w14:paraId="4C61747B" w14:textId="77777777" w:rsidR="005257BD" w:rsidRPr="00997B81" w:rsidRDefault="005257BD" w:rsidP="00DA2F46">
            <w:pPr>
              <w:rPr>
                <w:rFonts w:cs="Arial"/>
                <w:bCs/>
                <w:sz w:val="22"/>
                <w:szCs w:val="22"/>
              </w:rPr>
            </w:pPr>
            <w:r w:rsidRPr="00997B81">
              <w:rPr>
                <w:rFonts w:cs="Arial"/>
                <w:bCs/>
                <w:sz w:val="22"/>
                <w:szCs w:val="22"/>
              </w:rPr>
              <w:t>None.</w:t>
            </w:r>
          </w:p>
          <w:p w14:paraId="51BE6122" w14:textId="77777777" w:rsidR="005257BD" w:rsidRPr="00997B81" w:rsidRDefault="005257BD" w:rsidP="00DA2F46">
            <w:pPr>
              <w:rPr>
                <w:rFonts w:cs="Arial"/>
                <w:bCs/>
                <w:sz w:val="22"/>
                <w:szCs w:val="22"/>
              </w:rPr>
            </w:pPr>
          </w:p>
          <w:p w14:paraId="0FA13603" w14:textId="77777777" w:rsidR="005257BD" w:rsidRPr="00997B81" w:rsidRDefault="005257BD" w:rsidP="00DA2F46">
            <w:pPr>
              <w:rPr>
                <w:rFonts w:eastAsia="MS ??" w:cs="Arial"/>
                <w:bCs/>
                <w:sz w:val="22"/>
                <w:szCs w:val="22"/>
              </w:rPr>
            </w:pPr>
            <w:r w:rsidRPr="00997B81">
              <w:rPr>
                <w:rFonts w:cs="Arial"/>
                <w:b/>
                <w:bCs/>
                <w:sz w:val="22"/>
                <w:szCs w:val="22"/>
              </w:rPr>
              <w:t>3.6 Any activity planning assumptions</w:t>
            </w:r>
          </w:p>
          <w:p w14:paraId="36A1D0B4" w14:textId="77777777" w:rsidR="005257BD" w:rsidRPr="00997B81" w:rsidRDefault="005257BD" w:rsidP="00DA2F46">
            <w:pPr>
              <w:rPr>
                <w:rFonts w:eastAsia="MS ??" w:cs="Arial"/>
                <w:bCs/>
                <w:sz w:val="22"/>
                <w:szCs w:val="22"/>
              </w:rPr>
            </w:pPr>
          </w:p>
          <w:p w14:paraId="78D06B65" w14:textId="77777777" w:rsidR="005257BD" w:rsidRPr="00997B81" w:rsidRDefault="005257BD" w:rsidP="00DA2F46">
            <w:pPr>
              <w:rPr>
                <w:rFonts w:eastAsia="MS ??" w:cs="Arial"/>
                <w:bCs/>
                <w:sz w:val="22"/>
                <w:szCs w:val="22"/>
              </w:rPr>
            </w:pPr>
            <w:r w:rsidRPr="00997B81">
              <w:rPr>
                <w:rFonts w:eastAsia="MS ??" w:cs="Arial"/>
                <w:bCs/>
                <w:sz w:val="22"/>
                <w:szCs w:val="22"/>
              </w:rPr>
              <w:t>None.</w:t>
            </w:r>
          </w:p>
          <w:p w14:paraId="6EB4F202" w14:textId="77777777" w:rsidR="005257BD" w:rsidRPr="00997B81" w:rsidRDefault="005257BD" w:rsidP="00DA2F46">
            <w:pPr>
              <w:rPr>
                <w:rFonts w:eastAsia="MS ??" w:cs="Arial"/>
                <w:bCs/>
                <w:sz w:val="22"/>
                <w:szCs w:val="22"/>
              </w:rPr>
            </w:pPr>
          </w:p>
          <w:p w14:paraId="2EB51B5B" w14:textId="77777777" w:rsidR="005257BD" w:rsidRPr="00997B81" w:rsidRDefault="005257BD" w:rsidP="00DA2F46">
            <w:pPr>
              <w:rPr>
                <w:rFonts w:eastAsia="MS ??" w:cs="Arial"/>
                <w:b/>
                <w:sz w:val="22"/>
                <w:szCs w:val="22"/>
              </w:rPr>
            </w:pPr>
            <w:r w:rsidRPr="00997B81">
              <w:rPr>
                <w:rFonts w:eastAsia="MS ??" w:cs="Arial"/>
                <w:b/>
                <w:sz w:val="22"/>
                <w:szCs w:val="22"/>
              </w:rPr>
              <w:t>3.7 Invoicing &amp; Payments</w:t>
            </w:r>
          </w:p>
          <w:p w14:paraId="74E749CC" w14:textId="77777777" w:rsidR="005257BD" w:rsidRPr="00997B81" w:rsidRDefault="005257BD" w:rsidP="00DA2F46">
            <w:pPr>
              <w:rPr>
                <w:rFonts w:eastAsia="MS ??" w:cs="Arial"/>
                <w:b/>
                <w:sz w:val="22"/>
                <w:szCs w:val="22"/>
              </w:rPr>
            </w:pPr>
          </w:p>
          <w:p w14:paraId="68070BD8" w14:textId="77777777" w:rsidR="005257BD" w:rsidRPr="00997B81" w:rsidRDefault="005257BD" w:rsidP="005257BD">
            <w:pPr>
              <w:pStyle w:val="ListParagraph"/>
              <w:numPr>
                <w:ilvl w:val="0"/>
                <w:numId w:val="6"/>
              </w:numPr>
              <w:rPr>
                <w:rFonts w:cs="Arial"/>
                <w:sz w:val="22"/>
                <w:szCs w:val="22"/>
              </w:rPr>
            </w:pPr>
            <w:r w:rsidRPr="00997B81">
              <w:rPr>
                <w:rFonts w:cs="Arial"/>
                <w:sz w:val="22"/>
                <w:szCs w:val="22"/>
              </w:rPr>
              <w:t xml:space="preserve">In order to comply with data collection and invoicing requirements pharmacies will ensure that each exchange is recorded on the </w:t>
            </w:r>
            <w:proofErr w:type="spellStart"/>
            <w:r w:rsidRPr="00997B81">
              <w:rPr>
                <w:rFonts w:cs="Arial"/>
                <w:sz w:val="22"/>
                <w:szCs w:val="22"/>
              </w:rPr>
              <w:t>Pharmoutcomes</w:t>
            </w:r>
            <w:proofErr w:type="spellEnd"/>
            <w:r w:rsidRPr="00997B81">
              <w:rPr>
                <w:rFonts w:cs="Arial"/>
                <w:sz w:val="22"/>
                <w:szCs w:val="22"/>
              </w:rPr>
              <w:t xml:space="preserve"> system.</w:t>
            </w:r>
          </w:p>
          <w:p w14:paraId="715E5DAB" w14:textId="77777777" w:rsidR="005257BD" w:rsidRPr="00997B81" w:rsidRDefault="005257BD" w:rsidP="00DA2F46">
            <w:pPr>
              <w:pStyle w:val="ListParagraph"/>
              <w:rPr>
                <w:rFonts w:cs="Arial"/>
                <w:sz w:val="22"/>
                <w:szCs w:val="22"/>
              </w:rPr>
            </w:pPr>
          </w:p>
          <w:p w14:paraId="4C3C6128" w14:textId="77777777" w:rsidR="005257BD" w:rsidRPr="00997B81" w:rsidRDefault="005257BD" w:rsidP="005257BD">
            <w:pPr>
              <w:pStyle w:val="ListParagraph"/>
              <w:numPr>
                <w:ilvl w:val="0"/>
                <w:numId w:val="6"/>
              </w:numPr>
              <w:rPr>
                <w:rFonts w:cs="Arial"/>
                <w:sz w:val="22"/>
                <w:szCs w:val="22"/>
              </w:rPr>
            </w:pPr>
            <w:r w:rsidRPr="00997B81">
              <w:rPr>
                <w:rFonts w:cs="Arial"/>
                <w:sz w:val="22"/>
                <w:szCs w:val="22"/>
              </w:rPr>
              <w:t xml:space="preserve">Pharmacies are responsible for keeping service user records up to date via </w:t>
            </w:r>
            <w:proofErr w:type="spellStart"/>
            <w:r w:rsidRPr="00997B81">
              <w:rPr>
                <w:rFonts w:cs="Arial"/>
                <w:sz w:val="22"/>
                <w:szCs w:val="22"/>
              </w:rPr>
              <w:t>Pharmoutcomes</w:t>
            </w:r>
            <w:proofErr w:type="spellEnd"/>
            <w:r w:rsidRPr="00997B81">
              <w:rPr>
                <w:rFonts w:cs="Arial"/>
                <w:sz w:val="22"/>
                <w:szCs w:val="22"/>
              </w:rPr>
              <w:t>.</w:t>
            </w:r>
          </w:p>
          <w:p w14:paraId="43681512" w14:textId="77777777" w:rsidR="005257BD" w:rsidRPr="00997B81" w:rsidRDefault="005257BD" w:rsidP="00DA2F46">
            <w:pPr>
              <w:rPr>
                <w:rFonts w:cs="Arial"/>
                <w:sz w:val="22"/>
                <w:szCs w:val="22"/>
              </w:rPr>
            </w:pPr>
          </w:p>
          <w:p w14:paraId="0AFD2FB4" w14:textId="77777777" w:rsidR="005257BD" w:rsidRPr="00997B81" w:rsidRDefault="005257BD" w:rsidP="005257BD">
            <w:pPr>
              <w:pStyle w:val="ListParagraph"/>
              <w:numPr>
                <w:ilvl w:val="0"/>
                <w:numId w:val="6"/>
              </w:numPr>
              <w:rPr>
                <w:rFonts w:cs="Arial"/>
                <w:sz w:val="22"/>
                <w:szCs w:val="22"/>
              </w:rPr>
            </w:pPr>
            <w:r w:rsidRPr="00997B81">
              <w:rPr>
                <w:rFonts w:cs="Arial"/>
                <w:sz w:val="22"/>
                <w:szCs w:val="22"/>
              </w:rPr>
              <w:t xml:space="preserve">A payment of £2.10 will be made to the </w:t>
            </w:r>
            <w:r>
              <w:rPr>
                <w:rFonts w:cs="Arial"/>
                <w:sz w:val="22"/>
                <w:szCs w:val="22"/>
              </w:rPr>
              <w:t>Provider</w:t>
            </w:r>
            <w:r w:rsidRPr="00997B81">
              <w:rPr>
                <w:rFonts w:cs="Arial"/>
                <w:sz w:val="22"/>
                <w:szCs w:val="22"/>
              </w:rPr>
              <w:t xml:space="preserve"> for a transaction of one or more items exchanged.</w:t>
            </w:r>
          </w:p>
          <w:p w14:paraId="2E1BCFE7" w14:textId="77777777" w:rsidR="005257BD" w:rsidRPr="00997B81" w:rsidRDefault="005257BD" w:rsidP="00DA2F46">
            <w:pPr>
              <w:pStyle w:val="ListParagraph"/>
              <w:rPr>
                <w:rFonts w:cs="Arial"/>
                <w:sz w:val="22"/>
                <w:szCs w:val="22"/>
              </w:rPr>
            </w:pPr>
          </w:p>
          <w:p w14:paraId="7C039DA4" w14:textId="77777777" w:rsidR="005257BD" w:rsidRPr="00997B81" w:rsidRDefault="005257BD" w:rsidP="005257BD">
            <w:pPr>
              <w:pStyle w:val="ListParagraph"/>
              <w:numPr>
                <w:ilvl w:val="0"/>
                <w:numId w:val="6"/>
              </w:numPr>
              <w:rPr>
                <w:rFonts w:cs="Arial"/>
                <w:sz w:val="22"/>
                <w:szCs w:val="22"/>
              </w:rPr>
            </w:pPr>
            <w:r w:rsidRPr="00997B81">
              <w:rPr>
                <w:rFonts w:cs="Arial"/>
                <w:sz w:val="22"/>
                <w:szCs w:val="22"/>
              </w:rPr>
              <w:t>Pharmacies are eligible to claim a £35 monthly retainer fee for providing needle and syringe programme provision locally.</w:t>
            </w:r>
          </w:p>
          <w:p w14:paraId="31C39CC8" w14:textId="77777777" w:rsidR="005257BD" w:rsidRPr="00997B81" w:rsidRDefault="005257BD" w:rsidP="00DA2F46">
            <w:pPr>
              <w:rPr>
                <w:rFonts w:cs="Arial"/>
                <w:sz w:val="22"/>
                <w:szCs w:val="22"/>
              </w:rPr>
            </w:pPr>
          </w:p>
          <w:p w14:paraId="38627667" w14:textId="77777777" w:rsidR="005257BD" w:rsidRPr="00997B81" w:rsidRDefault="005257BD" w:rsidP="005257BD">
            <w:pPr>
              <w:pStyle w:val="ListParagraph"/>
              <w:numPr>
                <w:ilvl w:val="0"/>
                <w:numId w:val="6"/>
              </w:numPr>
              <w:rPr>
                <w:rFonts w:cs="Arial"/>
                <w:sz w:val="22"/>
                <w:szCs w:val="22"/>
              </w:rPr>
            </w:pPr>
            <w:r w:rsidRPr="00997B81">
              <w:rPr>
                <w:rFonts w:cs="Arial"/>
                <w:sz w:val="22"/>
                <w:szCs w:val="22"/>
              </w:rPr>
              <w:t xml:space="preserve">Invoices for the previous month’s exchange activity will automatically be generated through the </w:t>
            </w:r>
            <w:proofErr w:type="spellStart"/>
            <w:r w:rsidRPr="00997B81">
              <w:rPr>
                <w:rFonts w:cs="Arial"/>
                <w:sz w:val="22"/>
                <w:szCs w:val="22"/>
              </w:rPr>
              <w:t>Pharmoutcomes</w:t>
            </w:r>
            <w:proofErr w:type="spellEnd"/>
            <w:r w:rsidRPr="00997B81">
              <w:rPr>
                <w:rFonts w:cs="Arial"/>
                <w:sz w:val="22"/>
                <w:szCs w:val="22"/>
              </w:rPr>
              <w:t xml:space="preserve"> system on the 7th day of each month. It is the pharmacy contractor’s responsibility to ensure that all activity is recorded on </w:t>
            </w:r>
            <w:proofErr w:type="spellStart"/>
            <w:r w:rsidRPr="00997B81">
              <w:rPr>
                <w:rFonts w:cs="Arial"/>
                <w:sz w:val="22"/>
                <w:szCs w:val="22"/>
              </w:rPr>
              <w:t>Pharmoutcomes</w:t>
            </w:r>
            <w:proofErr w:type="spellEnd"/>
            <w:r w:rsidRPr="00997B81">
              <w:rPr>
                <w:rFonts w:cs="Arial"/>
                <w:sz w:val="22"/>
                <w:szCs w:val="22"/>
              </w:rPr>
              <w:t xml:space="preserve"> prior to this date.</w:t>
            </w:r>
          </w:p>
          <w:p w14:paraId="34652DC7" w14:textId="77777777" w:rsidR="005257BD" w:rsidRPr="00997B81" w:rsidRDefault="005257BD" w:rsidP="00DA2F46">
            <w:pPr>
              <w:rPr>
                <w:rFonts w:cs="Arial"/>
                <w:sz w:val="22"/>
                <w:szCs w:val="22"/>
              </w:rPr>
            </w:pPr>
          </w:p>
          <w:p w14:paraId="2899F566" w14:textId="77777777" w:rsidR="005257BD" w:rsidRPr="00997B81" w:rsidRDefault="005257BD" w:rsidP="005257BD">
            <w:pPr>
              <w:pStyle w:val="ListParagraph"/>
              <w:numPr>
                <w:ilvl w:val="0"/>
                <w:numId w:val="6"/>
              </w:numPr>
              <w:rPr>
                <w:rFonts w:cs="Arial"/>
                <w:sz w:val="22"/>
                <w:szCs w:val="22"/>
              </w:rPr>
            </w:pPr>
            <w:r w:rsidRPr="00997B81">
              <w:rPr>
                <w:rFonts w:cs="Arial"/>
                <w:sz w:val="22"/>
                <w:szCs w:val="22"/>
              </w:rPr>
              <w:t>Payment will be made via BACS to the bank account details provided.</w:t>
            </w:r>
          </w:p>
          <w:p w14:paraId="3568162F" w14:textId="77777777" w:rsidR="005257BD" w:rsidRPr="00997B81" w:rsidRDefault="005257BD" w:rsidP="00DA2F46">
            <w:pPr>
              <w:rPr>
                <w:rFonts w:cs="Arial"/>
                <w:sz w:val="22"/>
                <w:szCs w:val="22"/>
              </w:rPr>
            </w:pPr>
          </w:p>
          <w:p w14:paraId="7527D187" w14:textId="77777777" w:rsidR="005257BD" w:rsidRPr="00997B81" w:rsidRDefault="005257BD" w:rsidP="00DA2F46">
            <w:pPr>
              <w:rPr>
                <w:rFonts w:eastAsia="MS ??" w:cs="Arial"/>
                <w:bCs/>
                <w:sz w:val="22"/>
                <w:szCs w:val="22"/>
              </w:rPr>
            </w:pPr>
          </w:p>
        </w:tc>
      </w:tr>
      <w:tr w:rsidR="005257BD" w:rsidRPr="00997B81" w14:paraId="2CE4DDC0" w14:textId="77777777" w:rsidTr="00DA2F46">
        <w:tc>
          <w:tcPr>
            <w:tcW w:w="10485" w:type="dxa"/>
            <w:tcBorders>
              <w:top w:val="single" w:sz="4" w:space="0" w:color="999999"/>
              <w:left w:val="single" w:sz="4" w:space="0" w:color="999999"/>
              <w:bottom w:val="single" w:sz="4" w:space="0" w:color="999999"/>
              <w:right w:val="single" w:sz="4" w:space="0" w:color="999999"/>
            </w:tcBorders>
            <w:shd w:val="clear" w:color="auto" w:fill="666666"/>
          </w:tcPr>
          <w:p w14:paraId="3372821E" w14:textId="77777777" w:rsidR="005257BD" w:rsidRPr="00997B81" w:rsidRDefault="005257BD" w:rsidP="00DA2F46">
            <w:pPr>
              <w:rPr>
                <w:rFonts w:eastAsia="MS ??" w:cs="Arial"/>
                <w:b/>
                <w:color w:val="FFFFFF"/>
                <w:sz w:val="22"/>
                <w:szCs w:val="22"/>
              </w:rPr>
            </w:pPr>
          </w:p>
          <w:p w14:paraId="4AF68ADF" w14:textId="77777777" w:rsidR="005257BD" w:rsidRPr="00997B81" w:rsidRDefault="005257BD" w:rsidP="00DA2F46">
            <w:pPr>
              <w:rPr>
                <w:rFonts w:eastAsia="MS ??" w:cs="Arial"/>
                <w:b/>
                <w:color w:val="FFFFFF"/>
                <w:sz w:val="22"/>
                <w:szCs w:val="22"/>
              </w:rPr>
            </w:pPr>
            <w:r w:rsidRPr="00997B81">
              <w:rPr>
                <w:rFonts w:eastAsia="MS ??" w:cs="Arial"/>
                <w:b/>
                <w:color w:val="FFFFFF"/>
                <w:sz w:val="22"/>
                <w:szCs w:val="22"/>
              </w:rPr>
              <w:t>4. Applicable Service Standards</w:t>
            </w:r>
          </w:p>
          <w:p w14:paraId="6F3A5BE9" w14:textId="77777777" w:rsidR="005257BD" w:rsidRPr="00997B81" w:rsidRDefault="005257BD" w:rsidP="00DA2F46">
            <w:pPr>
              <w:rPr>
                <w:rFonts w:eastAsia="MS ??" w:cs="Arial"/>
                <w:b/>
                <w:color w:val="FFFFFF"/>
                <w:sz w:val="22"/>
                <w:szCs w:val="22"/>
              </w:rPr>
            </w:pPr>
          </w:p>
        </w:tc>
      </w:tr>
      <w:tr w:rsidR="005257BD" w:rsidRPr="00997B81" w14:paraId="25EC1FED" w14:textId="77777777" w:rsidTr="00DA2F46">
        <w:trPr>
          <w:trHeight w:val="1904"/>
        </w:trPr>
        <w:tc>
          <w:tcPr>
            <w:tcW w:w="10485" w:type="dxa"/>
            <w:tcBorders>
              <w:top w:val="single" w:sz="4" w:space="0" w:color="999999"/>
              <w:left w:val="single" w:sz="4" w:space="0" w:color="999999"/>
              <w:bottom w:val="single" w:sz="4" w:space="0" w:color="999999"/>
              <w:right w:val="single" w:sz="4" w:space="0" w:color="999999"/>
            </w:tcBorders>
          </w:tcPr>
          <w:p w14:paraId="631BDC00" w14:textId="77777777" w:rsidR="005257BD" w:rsidRPr="00997B81" w:rsidRDefault="005257BD" w:rsidP="00DA2F46">
            <w:pPr>
              <w:rPr>
                <w:rFonts w:eastAsia="MS ??" w:cs="Arial"/>
                <w:sz w:val="22"/>
                <w:szCs w:val="22"/>
              </w:rPr>
            </w:pPr>
          </w:p>
          <w:p w14:paraId="3ED3D041" w14:textId="77777777" w:rsidR="005257BD" w:rsidRPr="00997B81" w:rsidRDefault="005257BD" w:rsidP="00DA2F46">
            <w:pPr>
              <w:rPr>
                <w:rFonts w:cs="Arial"/>
                <w:b/>
                <w:sz w:val="22"/>
                <w:szCs w:val="22"/>
              </w:rPr>
            </w:pPr>
            <w:r w:rsidRPr="00997B81">
              <w:rPr>
                <w:rFonts w:cs="Arial"/>
                <w:b/>
                <w:sz w:val="22"/>
                <w:szCs w:val="22"/>
              </w:rPr>
              <w:t>4.1 Applicable national standards e.g., NICE</w:t>
            </w:r>
          </w:p>
          <w:p w14:paraId="5EE928CD" w14:textId="77777777" w:rsidR="005257BD" w:rsidRPr="00997B81" w:rsidRDefault="005257BD" w:rsidP="00DA2F46">
            <w:pPr>
              <w:rPr>
                <w:rFonts w:cs="Arial"/>
                <w:bCs/>
                <w:sz w:val="22"/>
                <w:szCs w:val="22"/>
              </w:rPr>
            </w:pPr>
          </w:p>
          <w:p w14:paraId="31CF1C7C" w14:textId="77777777" w:rsidR="005257BD" w:rsidRPr="00997B81" w:rsidRDefault="005257BD" w:rsidP="00DA2F46">
            <w:pPr>
              <w:rPr>
                <w:rFonts w:cs="Arial"/>
                <w:bCs/>
                <w:sz w:val="22"/>
                <w:szCs w:val="22"/>
              </w:rPr>
            </w:pPr>
            <w:r w:rsidRPr="00997B81">
              <w:rPr>
                <w:rFonts w:cs="Arial"/>
                <w:bCs/>
                <w:sz w:val="22"/>
                <w:szCs w:val="22"/>
              </w:rPr>
              <w:t xml:space="preserve">The Provider will follow best practice via NICE Guidance PH52 relating to Needle &amp; Syringe exchange services - </w:t>
            </w:r>
            <w:hyperlink r:id="rId24" w:history="1">
              <w:r w:rsidRPr="00997B81">
                <w:rPr>
                  <w:rStyle w:val="Hyperlink"/>
                  <w:rFonts w:eastAsia="MS ??" w:cs="Arial"/>
                  <w:bCs/>
                  <w:sz w:val="22"/>
                  <w:szCs w:val="22"/>
                </w:rPr>
                <w:t>https://www.nice.org.uk/guidance/ph52</w:t>
              </w:r>
            </w:hyperlink>
            <w:r w:rsidRPr="00997B81">
              <w:rPr>
                <w:rFonts w:cs="Arial"/>
                <w:bCs/>
                <w:sz w:val="22"/>
                <w:szCs w:val="22"/>
              </w:rPr>
              <w:t xml:space="preserve"> </w:t>
            </w:r>
          </w:p>
          <w:p w14:paraId="71849CFB" w14:textId="77777777" w:rsidR="005257BD" w:rsidRPr="00997B81" w:rsidRDefault="005257BD" w:rsidP="00DA2F46">
            <w:pPr>
              <w:rPr>
                <w:rFonts w:cs="Arial"/>
                <w:bCs/>
                <w:sz w:val="22"/>
                <w:szCs w:val="22"/>
              </w:rPr>
            </w:pPr>
          </w:p>
          <w:p w14:paraId="07874485" w14:textId="77777777" w:rsidR="005257BD" w:rsidRPr="00997B81" w:rsidRDefault="005257BD" w:rsidP="00DA2F46">
            <w:pPr>
              <w:rPr>
                <w:rFonts w:cs="Arial"/>
                <w:b/>
                <w:sz w:val="22"/>
                <w:szCs w:val="22"/>
              </w:rPr>
            </w:pPr>
            <w:r w:rsidRPr="00997B81">
              <w:rPr>
                <w:rFonts w:cs="Arial"/>
                <w:b/>
                <w:sz w:val="22"/>
                <w:szCs w:val="22"/>
              </w:rPr>
              <w:t>4.2 Applicable local standards</w:t>
            </w:r>
          </w:p>
          <w:p w14:paraId="6B5C5531" w14:textId="77777777" w:rsidR="005257BD" w:rsidRPr="00997B81" w:rsidRDefault="005257BD" w:rsidP="00DA2F46">
            <w:pPr>
              <w:rPr>
                <w:rFonts w:eastAsia="MS ??" w:cs="Arial"/>
                <w:sz w:val="22"/>
                <w:szCs w:val="22"/>
              </w:rPr>
            </w:pPr>
          </w:p>
          <w:p w14:paraId="503D1F74" w14:textId="77777777" w:rsidR="005257BD" w:rsidRPr="00997B81" w:rsidRDefault="005257BD" w:rsidP="005257BD">
            <w:pPr>
              <w:pStyle w:val="ListParagraph"/>
              <w:numPr>
                <w:ilvl w:val="0"/>
                <w:numId w:val="9"/>
              </w:numPr>
              <w:rPr>
                <w:rFonts w:cs="Arial"/>
                <w:sz w:val="22"/>
                <w:szCs w:val="22"/>
              </w:rPr>
            </w:pPr>
            <w:r w:rsidRPr="00837BB1">
              <w:rPr>
                <w:rFonts w:cs="Arial"/>
                <w:sz w:val="22"/>
                <w:szCs w:val="22"/>
              </w:rPr>
              <w:t>Pharmacists delivering the service are required to complete a self-declaration of competence via the Centre for Pharmacy Postgraduate Education (CPPE)</w:t>
            </w:r>
            <w:r>
              <w:rPr>
                <w:rFonts w:cs="Arial"/>
                <w:sz w:val="22"/>
                <w:szCs w:val="22"/>
              </w:rPr>
              <w:t>.</w:t>
            </w:r>
          </w:p>
          <w:p w14:paraId="53EC7949" w14:textId="77777777" w:rsidR="005257BD" w:rsidRPr="00B83CCA" w:rsidRDefault="005257BD" w:rsidP="00DA2F46">
            <w:pPr>
              <w:contextualSpacing/>
              <w:rPr>
                <w:rFonts w:cs="Arial"/>
                <w:sz w:val="22"/>
                <w:szCs w:val="22"/>
              </w:rPr>
            </w:pPr>
          </w:p>
          <w:p w14:paraId="31F5BEAF" w14:textId="77777777" w:rsidR="005257BD" w:rsidRPr="00997B81" w:rsidRDefault="005257BD" w:rsidP="005257BD">
            <w:pPr>
              <w:pStyle w:val="ListParagraph"/>
              <w:numPr>
                <w:ilvl w:val="0"/>
                <w:numId w:val="8"/>
              </w:numPr>
              <w:contextualSpacing/>
              <w:rPr>
                <w:rFonts w:cs="Arial"/>
                <w:b/>
                <w:sz w:val="22"/>
                <w:szCs w:val="22"/>
              </w:rPr>
            </w:pPr>
            <w:r w:rsidRPr="00997B81">
              <w:rPr>
                <w:rFonts w:cs="Arial"/>
                <w:sz w:val="22"/>
                <w:szCs w:val="22"/>
              </w:rPr>
              <w:t xml:space="preserve">An up to date declaration of competence can be found here: </w:t>
            </w:r>
            <w:hyperlink r:id="rId25" w:history="1">
              <w:r w:rsidRPr="00997B81">
                <w:rPr>
                  <w:rStyle w:val="Hyperlink"/>
                  <w:rFonts w:eastAsia="MS ??" w:cs="Arial"/>
                  <w:sz w:val="22"/>
                  <w:szCs w:val="22"/>
                </w:rPr>
                <w:t>https://www.cppe.ac.uk/services/docs/needle%20and%20syringe%20programme%20(nsp).pdf</w:t>
              </w:r>
            </w:hyperlink>
            <w:r w:rsidRPr="00997B81">
              <w:rPr>
                <w:rFonts w:cs="Arial"/>
                <w:sz w:val="22"/>
                <w:szCs w:val="22"/>
              </w:rPr>
              <w:t xml:space="preserve"> </w:t>
            </w:r>
            <w:r w:rsidRPr="00837BB1">
              <w:rPr>
                <w:rFonts w:cs="Arial"/>
                <w:sz w:val="22"/>
                <w:szCs w:val="22"/>
              </w:rPr>
              <w:t>and must be completed by the pharmacy taking part in the programme at least every two years</w:t>
            </w:r>
          </w:p>
          <w:p w14:paraId="3BA11F42" w14:textId="77777777" w:rsidR="005257BD" w:rsidRPr="00260645" w:rsidRDefault="005257BD" w:rsidP="00DA2F46">
            <w:pPr>
              <w:contextualSpacing/>
              <w:rPr>
                <w:rFonts w:cs="Arial"/>
                <w:b/>
                <w:sz w:val="22"/>
                <w:szCs w:val="22"/>
              </w:rPr>
            </w:pPr>
          </w:p>
          <w:p w14:paraId="2F38FF18" w14:textId="77777777" w:rsidR="005257BD" w:rsidRPr="00997B81" w:rsidRDefault="005257BD" w:rsidP="00DA2F46">
            <w:pPr>
              <w:rPr>
                <w:rFonts w:cs="Arial"/>
                <w:sz w:val="22"/>
                <w:szCs w:val="22"/>
              </w:rPr>
            </w:pPr>
          </w:p>
          <w:p w14:paraId="389F0693" w14:textId="77777777" w:rsidR="005257BD" w:rsidRPr="00997B81" w:rsidRDefault="005257BD" w:rsidP="005257BD">
            <w:pPr>
              <w:pStyle w:val="ListParagraph"/>
              <w:numPr>
                <w:ilvl w:val="0"/>
                <w:numId w:val="8"/>
              </w:numPr>
              <w:rPr>
                <w:rFonts w:cs="Arial"/>
                <w:sz w:val="22"/>
                <w:szCs w:val="22"/>
              </w:rPr>
            </w:pPr>
            <w:r w:rsidRPr="00997B81">
              <w:rPr>
                <w:rFonts w:cs="Arial"/>
                <w:sz w:val="22"/>
                <w:szCs w:val="22"/>
              </w:rPr>
              <w:t>The provider should consider access to flu vaccination for this vulnerable cohort</w:t>
            </w:r>
            <w:r>
              <w:rPr>
                <w:rFonts w:cs="Arial"/>
                <w:sz w:val="22"/>
                <w:szCs w:val="22"/>
              </w:rPr>
              <w:t>.</w:t>
            </w:r>
          </w:p>
          <w:p w14:paraId="47CBFA7C" w14:textId="77777777" w:rsidR="005257BD" w:rsidRPr="00997B81" w:rsidRDefault="005257BD" w:rsidP="00DA2F46">
            <w:pPr>
              <w:rPr>
                <w:rFonts w:cs="Arial"/>
                <w:sz w:val="22"/>
                <w:szCs w:val="22"/>
              </w:rPr>
            </w:pPr>
          </w:p>
          <w:p w14:paraId="77555304" w14:textId="77777777" w:rsidR="005257BD" w:rsidRPr="00997B81" w:rsidRDefault="005257BD" w:rsidP="005257BD">
            <w:pPr>
              <w:pStyle w:val="ListParagraph"/>
              <w:numPr>
                <w:ilvl w:val="0"/>
                <w:numId w:val="8"/>
              </w:numPr>
              <w:rPr>
                <w:rFonts w:cs="Arial"/>
                <w:sz w:val="22"/>
                <w:szCs w:val="22"/>
              </w:rPr>
            </w:pPr>
            <w:r w:rsidRPr="00997B81">
              <w:rPr>
                <w:rFonts w:cs="Arial"/>
                <w:sz w:val="22"/>
                <w:szCs w:val="22"/>
              </w:rPr>
              <w:t>The Provider reviews its standard operating procedures and the referral pathways for the service every two years.</w:t>
            </w:r>
          </w:p>
          <w:p w14:paraId="1F5EB6D8" w14:textId="77777777" w:rsidR="005257BD" w:rsidRPr="00997B81" w:rsidRDefault="005257BD" w:rsidP="00DA2F46">
            <w:pPr>
              <w:ind w:left="11"/>
              <w:rPr>
                <w:rFonts w:cs="Arial"/>
                <w:sz w:val="22"/>
                <w:szCs w:val="22"/>
              </w:rPr>
            </w:pPr>
          </w:p>
          <w:p w14:paraId="0F992FA6" w14:textId="77777777" w:rsidR="005257BD" w:rsidRPr="00997B81" w:rsidRDefault="005257BD" w:rsidP="005257BD">
            <w:pPr>
              <w:pStyle w:val="ListParagraph"/>
              <w:numPr>
                <w:ilvl w:val="0"/>
                <w:numId w:val="8"/>
              </w:numPr>
              <w:contextualSpacing/>
              <w:rPr>
                <w:rFonts w:cs="Arial"/>
                <w:sz w:val="22"/>
                <w:szCs w:val="22"/>
              </w:rPr>
            </w:pPr>
            <w:r w:rsidRPr="00997B81">
              <w:rPr>
                <w:rFonts w:cs="Arial"/>
                <w:sz w:val="22"/>
                <w:szCs w:val="22"/>
              </w:rPr>
              <w:t>The Provider will ensure that Staff involved in the provision of the service have relevant knowledge and are appropriately trained in the operation of the service. The Provider will maintain competencies and ensure records of all trained staff are held for audit purposes.</w:t>
            </w:r>
          </w:p>
          <w:p w14:paraId="02C5A91B" w14:textId="77777777" w:rsidR="005257BD" w:rsidRPr="00997B81" w:rsidRDefault="005257BD" w:rsidP="00DA2F46">
            <w:pPr>
              <w:contextualSpacing/>
              <w:rPr>
                <w:rFonts w:cs="Arial"/>
                <w:sz w:val="22"/>
                <w:szCs w:val="22"/>
              </w:rPr>
            </w:pPr>
          </w:p>
          <w:p w14:paraId="73F53451" w14:textId="77777777" w:rsidR="005257BD" w:rsidRPr="005261E3" w:rsidRDefault="005257BD" w:rsidP="005257BD">
            <w:pPr>
              <w:pStyle w:val="ListParagraph"/>
              <w:numPr>
                <w:ilvl w:val="0"/>
                <w:numId w:val="8"/>
              </w:numPr>
              <w:contextualSpacing/>
            </w:pPr>
            <w:r w:rsidRPr="0F5769E6">
              <w:rPr>
                <w:rFonts w:cs="Arial"/>
                <w:sz w:val="22"/>
                <w:szCs w:val="22"/>
              </w:rPr>
              <w:lastRenderedPageBreak/>
              <w:t xml:space="preserve">The Provider will further direct Staff delivering on this service to complete training modules via </w:t>
            </w:r>
            <w:hyperlink r:id="rId26">
              <w:r w:rsidRPr="0F5769E6">
                <w:rPr>
                  <w:rFonts w:cs="Arial"/>
                  <w:color w:val="0000FF"/>
                  <w:sz w:val="22"/>
                  <w:szCs w:val="22"/>
                  <w:u w:val="single"/>
                </w:rPr>
                <w:t>http://www.frontiersharpsafety.com/</w:t>
              </w:r>
            </w:hyperlink>
            <w:r w:rsidRPr="0F5769E6">
              <w:rPr>
                <w:rFonts w:cs="Arial"/>
                <w:sz w:val="22"/>
                <w:szCs w:val="22"/>
              </w:rPr>
              <w:t xml:space="preserve"> and refer to </w:t>
            </w:r>
            <w:hyperlink r:id="rId27" w:history="1">
              <w:r w:rsidRPr="006B313A">
                <w:rPr>
                  <w:rStyle w:val="Hyperlink"/>
                  <w:rFonts w:eastAsia="MS ??" w:cs="Arial"/>
                  <w:sz w:val="22"/>
                  <w:szCs w:val="22"/>
                </w:rPr>
                <w:t xml:space="preserve">National Public Health Guidance </w:t>
              </w:r>
            </w:hyperlink>
            <w:r w:rsidRPr="0F5769E6">
              <w:rPr>
                <w:rFonts w:cs="Arial"/>
                <w:sz w:val="22"/>
                <w:szCs w:val="22"/>
              </w:rPr>
              <w:t xml:space="preserve"> on services for </w:t>
            </w:r>
            <w:r>
              <w:rPr>
                <w:rFonts w:cs="Arial"/>
                <w:sz w:val="22"/>
                <w:szCs w:val="22"/>
              </w:rPr>
              <w:t>image and performance enhancing drug users.</w:t>
            </w:r>
            <w:r w:rsidRPr="0F5769E6">
              <w:rPr>
                <w:rFonts w:cs="Arial"/>
                <w:sz w:val="22"/>
                <w:szCs w:val="22"/>
              </w:rPr>
              <w:t xml:space="preserve"> </w:t>
            </w:r>
          </w:p>
          <w:p w14:paraId="20E4FA85" w14:textId="77777777" w:rsidR="005257BD" w:rsidRPr="00997B81" w:rsidRDefault="005257BD" w:rsidP="00DA2F46">
            <w:pPr>
              <w:rPr>
                <w:rFonts w:cs="Arial"/>
                <w:sz w:val="22"/>
                <w:szCs w:val="22"/>
              </w:rPr>
            </w:pPr>
          </w:p>
          <w:p w14:paraId="0B6B8AE0" w14:textId="77777777" w:rsidR="005257BD" w:rsidRPr="00997B81" w:rsidRDefault="005257BD" w:rsidP="005257BD">
            <w:pPr>
              <w:pStyle w:val="ListParagraph"/>
              <w:numPr>
                <w:ilvl w:val="0"/>
                <w:numId w:val="8"/>
              </w:numPr>
              <w:rPr>
                <w:rFonts w:cs="Arial"/>
                <w:sz w:val="22"/>
                <w:szCs w:val="22"/>
              </w:rPr>
            </w:pPr>
            <w:r w:rsidRPr="0F5769E6">
              <w:rPr>
                <w:rFonts w:cs="Arial"/>
                <w:sz w:val="22"/>
                <w:szCs w:val="22"/>
              </w:rPr>
              <w:t>The Provider must demonstrate that Staff involved in the provision of the service have undertaken training relevant to this service.</w:t>
            </w:r>
          </w:p>
          <w:p w14:paraId="37BB5C96" w14:textId="77777777" w:rsidR="005257BD" w:rsidRPr="00997B81" w:rsidRDefault="005257BD" w:rsidP="00DA2F46">
            <w:pPr>
              <w:rPr>
                <w:rFonts w:cs="Arial"/>
                <w:sz w:val="22"/>
                <w:szCs w:val="22"/>
              </w:rPr>
            </w:pPr>
          </w:p>
          <w:p w14:paraId="29DBBC96" w14:textId="77777777" w:rsidR="005257BD" w:rsidRPr="00997B81" w:rsidRDefault="005257BD" w:rsidP="005257BD">
            <w:pPr>
              <w:pStyle w:val="ListParagraph"/>
              <w:numPr>
                <w:ilvl w:val="0"/>
                <w:numId w:val="8"/>
              </w:numPr>
              <w:rPr>
                <w:rFonts w:cs="Arial"/>
                <w:sz w:val="22"/>
                <w:szCs w:val="22"/>
              </w:rPr>
            </w:pPr>
            <w:r w:rsidRPr="0F5769E6">
              <w:rPr>
                <w:rFonts w:cs="Arial"/>
                <w:sz w:val="22"/>
                <w:szCs w:val="22"/>
              </w:rPr>
              <w:t>The Provider will participate in any audit of service provision.</w:t>
            </w:r>
          </w:p>
          <w:p w14:paraId="6DDE9504" w14:textId="77777777" w:rsidR="005257BD" w:rsidRPr="00997B81" w:rsidRDefault="005257BD" w:rsidP="00DA2F46">
            <w:pPr>
              <w:rPr>
                <w:rFonts w:eastAsia="MS ??" w:cs="Arial"/>
                <w:sz w:val="22"/>
                <w:szCs w:val="22"/>
              </w:rPr>
            </w:pPr>
          </w:p>
          <w:p w14:paraId="0F07A215" w14:textId="77777777" w:rsidR="005257BD" w:rsidRPr="00997B81" w:rsidRDefault="005257BD" w:rsidP="005257BD">
            <w:pPr>
              <w:pStyle w:val="ListParagraph"/>
              <w:numPr>
                <w:ilvl w:val="0"/>
                <w:numId w:val="8"/>
              </w:numPr>
              <w:rPr>
                <w:rFonts w:cs="Arial"/>
                <w:bCs/>
                <w:sz w:val="22"/>
                <w:szCs w:val="22"/>
              </w:rPr>
            </w:pPr>
            <w:r w:rsidRPr="0F5769E6">
              <w:rPr>
                <w:rFonts w:cs="Arial"/>
                <w:sz w:val="22"/>
                <w:szCs w:val="22"/>
              </w:rPr>
              <w:t>The Provider must ensure a sufficient level of privacy and safety.</w:t>
            </w:r>
          </w:p>
          <w:p w14:paraId="32E1BB33" w14:textId="77777777" w:rsidR="005257BD" w:rsidRPr="00997B81" w:rsidRDefault="005257BD" w:rsidP="00DA2F46">
            <w:pPr>
              <w:rPr>
                <w:rFonts w:cs="Arial"/>
                <w:bCs/>
                <w:sz w:val="22"/>
                <w:szCs w:val="22"/>
              </w:rPr>
            </w:pPr>
          </w:p>
          <w:p w14:paraId="18D75684" w14:textId="77777777" w:rsidR="005257BD" w:rsidRPr="00997B81" w:rsidRDefault="005257BD" w:rsidP="005257BD">
            <w:pPr>
              <w:pStyle w:val="ListParagraph"/>
              <w:numPr>
                <w:ilvl w:val="0"/>
                <w:numId w:val="8"/>
              </w:numPr>
              <w:rPr>
                <w:rFonts w:cs="Arial"/>
                <w:bCs/>
                <w:sz w:val="22"/>
                <w:szCs w:val="22"/>
              </w:rPr>
            </w:pPr>
            <w:r w:rsidRPr="0F5769E6">
              <w:rPr>
                <w:rFonts w:cs="Arial"/>
                <w:sz w:val="22"/>
                <w:szCs w:val="22"/>
              </w:rPr>
              <w:t>The Provider will ensure that Staff are aware of and operate within local protocols.</w:t>
            </w:r>
          </w:p>
          <w:p w14:paraId="181EC844" w14:textId="77777777" w:rsidR="005257BD" w:rsidRPr="00997B81" w:rsidRDefault="005257BD" w:rsidP="00DA2F46">
            <w:pPr>
              <w:rPr>
                <w:rFonts w:cs="Arial"/>
                <w:bCs/>
                <w:sz w:val="22"/>
                <w:szCs w:val="22"/>
              </w:rPr>
            </w:pPr>
          </w:p>
          <w:p w14:paraId="6FF5A906" w14:textId="77777777" w:rsidR="005257BD" w:rsidRPr="00997B81" w:rsidRDefault="005257BD" w:rsidP="005257BD">
            <w:pPr>
              <w:pStyle w:val="ListParagraph"/>
              <w:numPr>
                <w:ilvl w:val="0"/>
                <w:numId w:val="8"/>
              </w:numPr>
              <w:rPr>
                <w:rFonts w:cs="Arial"/>
                <w:bCs/>
                <w:sz w:val="22"/>
                <w:szCs w:val="22"/>
              </w:rPr>
            </w:pPr>
            <w:r w:rsidRPr="0F5769E6">
              <w:rPr>
                <w:rFonts w:cs="Arial"/>
                <w:sz w:val="22"/>
                <w:szCs w:val="22"/>
              </w:rPr>
              <w:t xml:space="preserve">The Provider will ensure that Staff are made aware of the risk associated with the handling of returned used equipment and the correct procedures used to minimise those risks. A needle stick injury procedure should be in place. For information and a short training on needle stick injuries please visit </w:t>
            </w:r>
            <w:hyperlink r:id="rId28">
              <w:r w:rsidRPr="0F5769E6">
                <w:rPr>
                  <w:rFonts w:cs="Arial"/>
                  <w:color w:val="0000FF"/>
                  <w:sz w:val="22"/>
                  <w:szCs w:val="22"/>
                  <w:u w:val="single"/>
                </w:rPr>
                <w:t>http://www.frontiersharpsafety.com/training/needlestick-injury-12/</w:t>
              </w:r>
            </w:hyperlink>
            <w:r w:rsidRPr="0F5769E6">
              <w:rPr>
                <w:rFonts w:cs="Arial"/>
                <w:sz w:val="22"/>
                <w:szCs w:val="22"/>
              </w:rPr>
              <w:t>.</w:t>
            </w:r>
          </w:p>
          <w:p w14:paraId="3E624098" w14:textId="77777777" w:rsidR="005257BD" w:rsidRPr="00997B81" w:rsidRDefault="005257BD" w:rsidP="00DA2F46">
            <w:pPr>
              <w:rPr>
                <w:rFonts w:cs="Arial"/>
                <w:bCs/>
                <w:sz w:val="22"/>
                <w:szCs w:val="22"/>
              </w:rPr>
            </w:pPr>
          </w:p>
          <w:p w14:paraId="5A54D2F8" w14:textId="77777777" w:rsidR="005257BD" w:rsidRPr="00997B81" w:rsidRDefault="005257BD" w:rsidP="005257BD">
            <w:pPr>
              <w:pStyle w:val="ListParagraph"/>
              <w:numPr>
                <w:ilvl w:val="0"/>
                <w:numId w:val="8"/>
              </w:numPr>
              <w:rPr>
                <w:rFonts w:cs="Arial"/>
                <w:bCs/>
                <w:sz w:val="22"/>
                <w:szCs w:val="22"/>
              </w:rPr>
            </w:pPr>
            <w:r w:rsidRPr="0F5769E6">
              <w:rPr>
                <w:rFonts w:cs="Arial"/>
                <w:sz w:val="22"/>
                <w:szCs w:val="22"/>
              </w:rPr>
              <w:t>The Provider must maintain appropriate records to ensure effective ongoing service delivery and audit.</w:t>
            </w:r>
          </w:p>
          <w:p w14:paraId="032E6670" w14:textId="77777777" w:rsidR="005257BD" w:rsidRPr="00997B81" w:rsidRDefault="005257BD" w:rsidP="00DA2F46">
            <w:pPr>
              <w:rPr>
                <w:rFonts w:cs="Arial"/>
                <w:bCs/>
                <w:sz w:val="22"/>
                <w:szCs w:val="22"/>
              </w:rPr>
            </w:pPr>
          </w:p>
          <w:p w14:paraId="261C9135" w14:textId="77777777" w:rsidR="005257BD" w:rsidRPr="00997B81" w:rsidRDefault="005257BD" w:rsidP="005257BD">
            <w:pPr>
              <w:pStyle w:val="ListParagraph"/>
              <w:numPr>
                <w:ilvl w:val="0"/>
                <w:numId w:val="8"/>
              </w:numPr>
              <w:rPr>
                <w:rFonts w:cs="Arial"/>
                <w:bCs/>
                <w:sz w:val="22"/>
                <w:szCs w:val="22"/>
              </w:rPr>
            </w:pPr>
            <w:r w:rsidRPr="0F5769E6">
              <w:rPr>
                <w:rFonts w:cs="Arial"/>
                <w:sz w:val="22"/>
                <w:szCs w:val="22"/>
              </w:rPr>
              <w:t xml:space="preserve">Appropriate protective equipment, including gloves, overalls and </w:t>
            </w:r>
            <w:r>
              <w:tab/>
            </w:r>
            <w:r w:rsidRPr="0F5769E6">
              <w:rPr>
                <w:rFonts w:cs="Arial"/>
                <w:sz w:val="22"/>
                <w:szCs w:val="22"/>
              </w:rPr>
              <w:t>materials to deal with spillages, should be readily available close to the storage site.</w:t>
            </w:r>
          </w:p>
          <w:p w14:paraId="30FB72C7" w14:textId="77777777" w:rsidR="005257BD" w:rsidRPr="00997B81" w:rsidRDefault="005257BD" w:rsidP="00DA2F46">
            <w:pPr>
              <w:rPr>
                <w:rFonts w:cs="Arial"/>
                <w:bCs/>
                <w:sz w:val="22"/>
                <w:szCs w:val="22"/>
              </w:rPr>
            </w:pPr>
          </w:p>
          <w:p w14:paraId="396F0294" w14:textId="77777777" w:rsidR="005257BD" w:rsidRPr="00997B81" w:rsidRDefault="005257BD" w:rsidP="005257BD">
            <w:pPr>
              <w:pStyle w:val="ListParagraph"/>
              <w:numPr>
                <w:ilvl w:val="0"/>
                <w:numId w:val="8"/>
              </w:numPr>
              <w:rPr>
                <w:rFonts w:cs="Arial"/>
                <w:bCs/>
                <w:sz w:val="22"/>
                <w:szCs w:val="22"/>
              </w:rPr>
            </w:pPr>
            <w:r w:rsidRPr="0F5769E6">
              <w:rPr>
                <w:rFonts w:cs="Arial"/>
                <w:sz w:val="22"/>
                <w:szCs w:val="22"/>
              </w:rPr>
              <w:t>The Provider must display the national scheme logo indicating participation in the service in a prominent position.</w:t>
            </w:r>
          </w:p>
          <w:p w14:paraId="72C2A9C6" w14:textId="77777777" w:rsidR="005257BD" w:rsidRPr="00997B81" w:rsidRDefault="005257BD" w:rsidP="00DA2F46">
            <w:pPr>
              <w:rPr>
                <w:rFonts w:cs="Arial"/>
                <w:bCs/>
                <w:sz w:val="22"/>
                <w:szCs w:val="22"/>
              </w:rPr>
            </w:pPr>
          </w:p>
          <w:p w14:paraId="30F8121B" w14:textId="77777777" w:rsidR="005257BD" w:rsidRPr="00997B81" w:rsidRDefault="005257BD" w:rsidP="005257BD">
            <w:pPr>
              <w:pStyle w:val="ListParagraph"/>
              <w:numPr>
                <w:ilvl w:val="0"/>
                <w:numId w:val="8"/>
              </w:numPr>
              <w:rPr>
                <w:rFonts w:cs="Arial"/>
                <w:bCs/>
                <w:sz w:val="22"/>
                <w:szCs w:val="22"/>
              </w:rPr>
            </w:pPr>
            <w:r w:rsidRPr="0F5769E6">
              <w:rPr>
                <w:rFonts w:cs="Arial"/>
                <w:sz w:val="22"/>
                <w:szCs w:val="22"/>
              </w:rPr>
              <w:t>The Provider must actively promote the service.</w:t>
            </w:r>
          </w:p>
          <w:p w14:paraId="37DB7558" w14:textId="77777777" w:rsidR="005257BD" w:rsidRPr="00997B81" w:rsidRDefault="005257BD" w:rsidP="00DA2F46">
            <w:pPr>
              <w:rPr>
                <w:rFonts w:cs="Arial"/>
                <w:bCs/>
                <w:sz w:val="22"/>
                <w:szCs w:val="22"/>
              </w:rPr>
            </w:pPr>
          </w:p>
          <w:p w14:paraId="79317B25" w14:textId="77777777" w:rsidR="005257BD" w:rsidRPr="00997B81" w:rsidRDefault="005257BD" w:rsidP="005257BD">
            <w:pPr>
              <w:pStyle w:val="ListParagraph"/>
              <w:numPr>
                <w:ilvl w:val="0"/>
                <w:numId w:val="8"/>
              </w:numPr>
              <w:rPr>
                <w:rFonts w:cs="Arial"/>
                <w:bCs/>
                <w:sz w:val="22"/>
                <w:szCs w:val="22"/>
              </w:rPr>
            </w:pPr>
            <w:r w:rsidRPr="0F5769E6">
              <w:rPr>
                <w:rFonts w:cs="Arial"/>
                <w:sz w:val="22"/>
                <w:szCs w:val="22"/>
              </w:rPr>
              <w:t>The Provider must ensure that staff are able to access immunisation for Hepatitis B.</w:t>
            </w:r>
          </w:p>
          <w:p w14:paraId="7A4E33E6" w14:textId="77777777" w:rsidR="005257BD" w:rsidRPr="00997B81" w:rsidRDefault="005257BD" w:rsidP="00DA2F46">
            <w:pPr>
              <w:rPr>
                <w:rFonts w:cs="Arial"/>
                <w:bCs/>
                <w:sz w:val="22"/>
                <w:szCs w:val="22"/>
              </w:rPr>
            </w:pPr>
          </w:p>
          <w:p w14:paraId="2529E954" w14:textId="77777777" w:rsidR="005257BD" w:rsidRPr="00997B81" w:rsidRDefault="005257BD" w:rsidP="005257BD">
            <w:pPr>
              <w:pStyle w:val="ListParagraph"/>
              <w:numPr>
                <w:ilvl w:val="0"/>
                <w:numId w:val="8"/>
              </w:numPr>
              <w:rPr>
                <w:rFonts w:cs="Arial"/>
                <w:bCs/>
                <w:sz w:val="22"/>
                <w:szCs w:val="22"/>
              </w:rPr>
            </w:pPr>
            <w:r w:rsidRPr="0F5769E6">
              <w:rPr>
                <w:rFonts w:cs="Arial"/>
                <w:sz w:val="22"/>
                <w:szCs w:val="22"/>
              </w:rPr>
              <w:t>The Provider will share relevant information with other health care professionals and agencies, in line with appropriate confidentiality principles.</w:t>
            </w:r>
          </w:p>
          <w:p w14:paraId="53E90F36" w14:textId="77777777" w:rsidR="005257BD" w:rsidRPr="00997B81" w:rsidRDefault="005257BD" w:rsidP="00DA2F46">
            <w:pPr>
              <w:rPr>
                <w:rFonts w:cs="Arial"/>
                <w:bCs/>
                <w:sz w:val="22"/>
                <w:szCs w:val="22"/>
              </w:rPr>
            </w:pPr>
          </w:p>
          <w:p w14:paraId="2EF96056" w14:textId="77777777" w:rsidR="005257BD" w:rsidRPr="00997B81" w:rsidRDefault="005257BD" w:rsidP="005257BD">
            <w:pPr>
              <w:pStyle w:val="ListParagraph"/>
              <w:numPr>
                <w:ilvl w:val="0"/>
                <w:numId w:val="8"/>
              </w:numPr>
              <w:rPr>
                <w:rFonts w:cs="Arial"/>
                <w:bCs/>
                <w:sz w:val="22"/>
                <w:szCs w:val="22"/>
              </w:rPr>
            </w:pPr>
            <w:r w:rsidRPr="0F5769E6">
              <w:rPr>
                <w:rFonts w:cs="Arial"/>
                <w:sz w:val="22"/>
                <w:szCs w:val="22"/>
              </w:rPr>
              <w:t xml:space="preserve">The Authority will provide details of relevant referral points which </w:t>
            </w:r>
            <w:r>
              <w:tab/>
            </w:r>
            <w:r w:rsidRPr="0F5769E6">
              <w:rPr>
                <w:rFonts w:cs="Arial"/>
                <w:sz w:val="22"/>
                <w:szCs w:val="22"/>
              </w:rPr>
              <w:t>Staff can use to signpost Service Users who require further assistance.</w:t>
            </w:r>
          </w:p>
          <w:p w14:paraId="2FF1954A" w14:textId="77777777" w:rsidR="005257BD" w:rsidRPr="00997B81" w:rsidRDefault="005257BD" w:rsidP="00DA2F46">
            <w:pPr>
              <w:rPr>
                <w:rFonts w:cs="Arial"/>
                <w:bCs/>
                <w:sz w:val="22"/>
                <w:szCs w:val="22"/>
              </w:rPr>
            </w:pPr>
          </w:p>
          <w:p w14:paraId="61F90DC0" w14:textId="77777777" w:rsidR="005257BD" w:rsidRPr="00997B81" w:rsidRDefault="005257BD" w:rsidP="00DA2F46">
            <w:pPr>
              <w:rPr>
                <w:rFonts w:cs="Arial"/>
                <w:bCs/>
                <w:sz w:val="22"/>
                <w:szCs w:val="22"/>
              </w:rPr>
            </w:pPr>
            <w:r w:rsidRPr="00997B81">
              <w:rPr>
                <w:rFonts w:cs="Arial"/>
                <w:bCs/>
                <w:sz w:val="22"/>
                <w:szCs w:val="22"/>
              </w:rPr>
              <w:t xml:space="preserve">The Authority will ensure that annual training sessions for Needle Exchange are made available to Staff. If you require additional training, please contact: </w:t>
            </w:r>
            <w:hyperlink r:id="rId29" w:history="1">
              <w:r w:rsidRPr="00997B81">
                <w:rPr>
                  <w:rStyle w:val="Hyperlink"/>
                  <w:rFonts w:eastAsia="MS ??" w:cs="Arial"/>
                  <w:bCs/>
                  <w:sz w:val="22"/>
                  <w:szCs w:val="22"/>
                </w:rPr>
                <w:t>l</w:t>
              </w:r>
              <w:r w:rsidRPr="00997B81">
                <w:rPr>
                  <w:rStyle w:val="Hyperlink"/>
                  <w:rFonts w:eastAsia="MS ??" w:cs="Arial"/>
                  <w:sz w:val="22"/>
                  <w:szCs w:val="22"/>
                </w:rPr>
                <w:t>eanda.spence</w:t>
              </w:r>
              <w:r w:rsidRPr="00997B81">
                <w:rPr>
                  <w:rStyle w:val="Hyperlink"/>
                  <w:rFonts w:eastAsia="MS ??" w:cs="Arial"/>
                  <w:bCs/>
                  <w:sz w:val="22"/>
                  <w:szCs w:val="22"/>
                </w:rPr>
                <w:t>@Knowsley.gov.uk</w:t>
              </w:r>
            </w:hyperlink>
            <w:r w:rsidRPr="00997B81">
              <w:rPr>
                <w:rFonts w:cs="Arial"/>
                <w:bCs/>
                <w:sz w:val="22"/>
                <w:szCs w:val="22"/>
              </w:rPr>
              <w:t xml:space="preserve"> (07385944968)</w:t>
            </w:r>
          </w:p>
          <w:p w14:paraId="2A915EBC" w14:textId="77777777" w:rsidR="005257BD" w:rsidRPr="00997B81" w:rsidRDefault="005257BD" w:rsidP="00DA2F46">
            <w:pPr>
              <w:rPr>
                <w:rFonts w:eastAsia="MS ??" w:cs="Arial"/>
                <w:sz w:val="22"/>
                <w:szCs w:val="22"/>
              </w:rPr>
            </w:pPr>
          </w:p>
        </w:tc>
      </w:tr>
    </w:tbl>
    <w:p w14:paraId="6E918177" w14:textId="77777777" w:rsidR="005257BD" w:rsidRPr="00997B81" w:rsidRDefault="005257BD" w:rsidP="005257BD">
      <w:pPr>
        <w:rPr>
          <w:rFonts w:cs="Arial"/>
          <w:sz w:val="22"/>
          <w:szCs w:val="22"/>
        </w:rPr>
      </w:pPr>
    </w:p>
    <w:p w14:paraId="5F209F2D" w14:textId="77777777" w:rsidR="005257BD" w:rsidRPr="00997B81" w:rsidRDefault="005257BD" w:rsidP="005257BD">
      <w:pPr>
        <w:pStyle w:val="BodyText"/>
        <w:jc w:val="both"/>
        <w:rPr>
          <w:rFonts w:cs="Arial"/>
          <w:bCs/>
          <w:szCs w:val="22"/>
        </w:rPr>
      </w:pPr>
    </w:p>
    <w:sectPr w:rsidR="005257BD" w:rsidRPr="00997B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4642"/>
    <w:multiLevelType w:val="hybridMultilevel"/>
    <w:tmpl w:val="2874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80EDB"/>
    <w:multiLevelType w:val="hybridMultilevel"/>
    <w:tmpl w:val="2BF27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CD6F11"/>
    <w:multiLevelType w:val="hybridMultilevel"/>
    <w:tmpl w:val="1102C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F83580"/>
    <w:multiLevelType w:val="hybridMultilevel"/>
    <w:tmpl w:val="65A25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5C4FC5"/>
    <w:multiLevelType w:val="hybridMultilevel"/>
    <w:tmpl w:val="DA349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830532"/>
    <w:multiLevelType w:val="multilevel"/>
    <w:tmpl w:val="E10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F97F7D"/>
    <w:multiLevelType w:val="hybridMultilevel"/>
    <w:tmpl w:val="437C7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E64401"/>
    <w:multiLevelType w:val="hybridMultilevel"/>
    <w:tmpl w:val="39C00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2C2DAA"/>
    <w:multiLevelType w:val="hybridMultilevel"/>
    <w:tmpl w:val="2B00E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544658">
    <w:abstractNumId w:val="7"/>
  </w:num>
  <w:num w:numId="2" w16cid:durableId="2070759606">
    <w:abstractNumId w:val="5"/>
  </w:num>
  <w:num w:numId="3" w16cid:durableId="18967748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72019871">
    <w:abstractNumId w:val="8"/>
  </w:num>
  <w:num w:numId="5" w16cid:durableId="333530827">
    <w:abstractNumId w:val="3"/>
  </w:num>
  <w:num w:numId="6" w16cid:durableId="758451624">
    <w:abstractNumId w:val="0"/>
  </w:num>
  <w:num w:numId="7" w16cid:durableId="325016486">
    <w:abstractNumId w:val="2"/>
  </w:num>
  <w:num w:numId="8" w16cid:durableId="1022629721">
    <w:abstractNumId w:val="1"/>
  </w:num>
  <w:num w:numId="9" w16cid:durableId="19632248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7BD"/>
    <w:rsid w:val="000A7E56"/>
    <w:rsid w:val="005257BD"/>
    <w:rsid w:val="00716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B90C8"/>
  <w15:chartTrackingRefBased/>
  <w15:docId w15:val="{399AE733-D835-42B4-AD19-9529230A4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7BD"/>
    <w:pPr>
      <w:suppressAutoHyphens/>
      <w:spacing w:after="0" w:line="240" w:lineRule="auto"/>
      <w:jc w:val="both"/>
    </w:pPr>
    <w:rPr>
      <w:rFonts w:ascii="Arial" w:eastAsia="Times New Roman" w:hAnsi="Arial"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57BD"/>
    <w:rPr>
      <w:rFonts w:ascii="Arial" w:hAnsi="Arial" w:cs="Times New Roman"/>
      <w:color w:val="0000FF"/>
      <w:sz w:val="24"/>
      <w:u w:val="single"/>
    </w:rPr>
  </w:style>
  <w:style w:type="paragraph" w:styleId="CommentText">
    <w:name w:val="annotation text"/>
    <w:basedOn w:val="Normal"/>
    <w:link w:val="CommentTextChar"/>
    <w:uiPriority w:val="99"/>
    <w:semiHidden/>
    <w:rsid w:val="005257BD"/>
    <w:rPr>
      <w:sz w:val="20"/>
    </w:rPr>
  </w:style>
  <w:style w:type="character" w:customStyle="1" w:styleId="CommentTextChar">
    <w:name w:val="Comment Text Char"/>
    <w:basedOn w:val="DefaultParagraphFont"/>
    <w:link w:val="CommentText"/>
    <w:uiPriority w:val="99"/>
    <w:semiHidden/>
    <w:rsid w:val="005257BD"/>
    <w:rPr>
      <w:rFonts w:ascii="Arial" w:eastAsia="Times New Roman" w:hAnsi="Arial" w:cs="Times New Roman"/>
      <w:kern w:val="0"/>
      <w:sz w:val="20"/>
      <w:szCs w:val="20"/>
      <w14:ligatures w14:val="none"/>
    </w:rPr>
  </w:style>
  <w:style w:type="table" w:styleId="TableGrid">
    <w:name w:val="Table Grid"/>
    <w:basedOn w:val="TableNormal"/>
    <w:uiPriority w:val="39"/>
    <w:rsid w:val="005257BD"/>
    <w:pPr>
      <w:suppressAutoHyphens/>
      <w:spacing w:after="0" w:line="240" w:lineRule="auto"/>
      <w:jc w:val="both"/>
    </w:pPr>
    <w:rPr>
      <w:rFonts w:ascii="Arial" w:eastAsia="Times New Roman" w:hAnsi="Arial" w:cs="Times New Roman"/>
      <w:kern w:val="0"/>
      <w:sz w:val="24"/>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257BD"/>
    <w:pPr>
      <w:suppressAutoHyphens w:val="0"/>
      <w:jc w:val="left"/>
    </w:pPr>
    <w:rPr>
      <w:rFonts w:ascii="Times New Roman" w:hAnsi="Times New Roman"/>
      <w:szCs w:val="24"/>
      <w:lang w:eastAsia="en-GB"/>
    </w:rPr>
  </w:style>
  <w:style w:type="paragraph" w:styleId="ListParagraph">
    <w:name w:val="List Paragraph"/>
    <w:basedOn w:val="Normal"/>
    <w:link w:val="ListParagraphChar"/>
    <w:qFormat/>
    <w:rsid w:val="005257BD"/>
    <w:pPr>
      <w:ind w:left="720"/>
    </w:pPr>
  </w:style>
  <w:style w:type="paragraph" w:styleId="BodyText">
    <w:name w:val="Body Text"/>
    <w:basedOn w:val="Normal"/>
    <w:link w:val="BodyTextChar"/>
    <w:rsid w:val="005257BD"/>
    <w:pPr>
      <w:suppressAutoHyphens w:val="0"/>
      <w:jc w:val="left"/>
    </w:pPr>
    <w:rPr>
      <w:rFonts w:eastAsia="MS ??"/>
      <w:sz w:val="22"/>
    </w:rPr>
  </w:style>
  <w:style w:type="character" w:customStyle="1" w:styleId="BodyTextChar">
    <w:name w:val="Body Text Char"/>
    <w:basedOn w:val="DefaultParagraphFont"/>
    <w:link w:val="BodyText"/>
    <w:rsid w:val="005257BD"/>
    <w:rPr>
      <w:rFonts w:ascii="Arial" w:eastAsia="MS ??" w:hAnsi="Arial" w:cs="Times New Roman"/>
      <w:kern w:val="0"/>
      <w:szCs w:val="20"/>
      <w14:ligatures w14:val="none"/>
    </w:rPr>
  </w:style>
  <w:style w:type="character" w:customStyle="1" w:styleId="ListParagraphChar">
    <w:name w:val="List Paragraph Char"/>
    <w:link w:val="ListParagraph"/>
    <w:locked/>
    <w:rsid w:val="005257BD"/>
    <w:rPr>
      <w:rFonts w:ascii="Arial" w:eastAsia="Times New Roman" w:hAnsi="Arial"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eople-who-inject-drugs-hiv-and-viral-hepatitis-monitoring" TargetMode="External"/><Relationship Id="rId13" Type="http://schemas.openxmlformats.org/officeDocument/2006/relationships/hyperlink" Target="mailto:leanda.spence@Knowsley.gov.uk" TargetMode="External"/><Relationship Id="rId18" Type="http://schemas.openxmlformats.org/officeDocument/2006/relationships/hyperlink" Target="http://www.frontiersharpsafety.com/" TargetMode="External"/><Relationship Id="rId26" Type="http://schemas.openxmlformats.org/officeDocument/2006/relationships/hyperlink" Target="http://www.frontiersharpsafety.com/" TargetMode="External"/><Relationship Id="rId3" Type="http://schemas.openxmlformats.org/officeDocument/2006/relationships/settings" Target="settings.xml"/><Relationship Id="rId21" Type="http://schemas.openxmlformats.org/officeDocument/2006/relationships/image" Target="media/image3.emf"/><Relationship Id="rId7" Type="http://schemas.openxmlformats.org/officeDocument/2006/relationships/hyperlink" Target="https://www.gov.uk/government/publications/people-who-inject-drugs-hiv-and-viral-hepatitis-monitoring" TargetMode="External"/><Relationship Id="rId12" Type="http://schemas.openxmlformats.org/officeDocument/2006/relationships/image" Target="media/image2.png"/><Relationship Id="rId17" Type="http://schemas.openxmlformats.org/officeDocument/2006/relationships/hyperlink" Target="https://www.cppe.ac.uk/programmes/l?t=Addict-E-02&amp;evid=53098" TargetMode="External"/><Relationship Id="rId25" Type="http://schemas.openxmlformats.org/officeDocument/2006/relationships/hyperlink" Target="https://www.cppe.ac.uk/services/docs/needle%20and%20syringe%20programme%20(nsp).pdf" TargetMode="External"/><Relationship Id="rId2" Type="http://schemas.openxmlformats.org/officeDocument/2006/relationships/styles" Target="styles.xml"/><Relationship Id="rId16" Type="http://schemas.openxmlformats.org/officeDocument/2006/relationships/hyperlink" Target="https://www.cppe.ac.uk/programmes/l?t=SubstanceEC-A-03&amp;evid=56790" TargetMode="External"/><Relationship Id="rId20" Type="http://schemas.openxmlformats.org/officeDocument/2006/relationships/hyperlink" Target="mailto:Catherine.Shaw@cgl.org.uk" TargetMode="External"/><Relationship Id="rId29" Type="http://schemas.openxmlformats.org/officeDocument/2006/relationships/hyperlink" Target="mailto:leanda.spence@Knowsley.gov.uk" TargetMode="External"/><Relationship Id="rId1" Type="http://schemas.openxmlformats.org/officeDocument/2006/relationships/numbering" Target="numbering.xml"/><Relationship Id="rId6" Type="http://schemas.openxmlformats.org/officeDocument/2006/relationships/hyperlink" Target="https://www.ndtms.net/" TargetMode="External"/><Relationship Id="rId11" Type="http://schemas.openxmlformats.org/officeDocument/2006/relationships/hyperlink" Target="https://www.nice.org.uk/guidance/ph52" TargetMode="External"/><Relationship Id="rId24" Type="http://schemas.openxmlformats.org/officeDocument/2006/relationships/hyperlink" Target="https://www.nice.org.uk/guidance/ph52" TargetMode="External"/><Relationship Id="rId5" Type="http://schemas.openxmlformats.org/officeDocument/2006/relationships/hyperlink" Target="https://assets.publishing.service.gov.uk/government/uploads/system/uploads/attachment_data/file/1079147/From_harm_to_hope_PDF.pdf" TargetMode="External"/><Relationship Id="rId15" Type="http://schemas.openxmlformats.org/officeDocument/2006/relationships/hyperlink" Target="https://www.cppe.ac.uk/programmes/l?t=Substance-E-02&amp;evid=53231" TargetMode="External"/><Relationship Id="rId23" Type="http://schemas.openxmlformats.org/officeDocument/2006/relationships/hyperlink" Target="mailto:WasteandRecycling@knowsley.gov.uk" TargetMode="External"/><Relationship Id="rId28" Type="http://schemas.openxmlformats.org/officeDocument/2006/relationships/hyperlink" Target="http://www.frontiersharpsafety.com/training/needlestick-injury-12/" TargetMode="External"/><Relationship Id="rId10" Type="http://schemas.openxmlformats.org/officeDocument/2006/relationships/image" Target="media/image1.png"/><Relationship Id="rId19" Type="http://schemas.openxmlformats.org/officeDocument/2006/relationships/hyperlink" Target="http://www.ipedinfo.co.uk/index.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shooting-up-infections-among-people-who-inject-drugs-in-the-uk" TargetMode="External"/><Relationship Id="rId14" Type="http://schemas.openxmlformats.org/officeDocument/2006/relationships/hyperlink" Target="https://www.cppe.ac.uk/services/docs/needle%20and%20syringe%20programme%20(nsp).pdf" TargetMode="External"/><Relationship Id="rId22" Type="http://schemas.openxmlformats.org/officeDocument/2006/relationships/oleObject" Target="embeddings/Microsoft_Word_97_-_2003_Document.doc"/><Relationship Id="rId27" Type="http://schemas.openxmlformats.org/officeDocument/2006/relationships/hyperlink" Target="https://www.gov.uk/government/publications/treating-substance-misuse-and-related-harm-turning-evidence-into-practice/services-for-image-and-performance-enhancing-drug-iped-users-turning-evidence-into-practic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3294</Words>
  <Characters>18776</Characters>
  <Application>Microsoft Office Word</Application>
  <DocSecurity>0</DocSecurity>
  <Lines>156</Lines>
  <Paragraphs>44</Paragraphs>
  <ScaleCrop>false</ScaleCrop>
  <Company/>
  <LinksUpToDate>false</LinksUpToDate>
  <CharactersWithSpaces>22026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Murphy</dc:creator>
  <cp:keywords/>
  <dc:description/>
  <cp:lastModifiedBy>Helen Murphy</cp:lastModifiedBy>
  <cp:revision>1</cp:revision>
  <dcterms:created xsi:type="dcterms:W3CDTF">2023-10-11T15:25:00Z</dcterms:created>
  <dcterms:modified xsi:type="dcterms:W3CDTF">2023-10-11T15:26:00Z</dcterms:modified>
</cp:coreProperties>
</file>