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249"/>
      </w:tblGrid>
      <w:tr w:rsidR="00F805D6" w:rsidRPr="00997B81" w14:paraId="7BC6071B" w14:textId="77777777" w:rsidTr="00DA2F46">
        <w:trPr>
          <w:trHeight w:val="345"/>
        </w:trPr>
        <w:tc>
          <w:tcPr>
            <w:tcW w:w="3073" w:type="dxa"/>
            <w:shd w:val="clear" w:color="auto" w:fill="595959"/>
            <w:vAlign w:val="center"/>
          </w:tcPr>
          <w:p w14:paraId="21A25E0B" w14:textId="77777777" w:rsidR="00F805D6" w:rsidRPr="00997B81" w:rsidRDefault="00F805D6" w:rsidP="00DA2F46">
            <w:pPr>
              <w:pStyle w:val="BodyText"/>
              <w:rPr>
                <w:rFonts w:cs="Arial"/>
                <w:b/>
                <w:color w:val="FFFFFF"/>
                <w:szCs w:val="22"/>
              </w:rPr>
            </w:pPr>
            <w:r w:rsidRPr="00997B81">
              <w:rPr>
                <w:rFonts w:cs="Arial"/>
                <w:b/>
                <w:color w:val="FFFFFF"/>
                <w:szCs w:val="22"/>
              </w:rPr>
              <w:t xml:space="preserve">Service Specification No. </w:t>
            </w:r>
          </w:p>
        </w:tc>
        <w:tc>
          <w:tcPr>
            <w:tcW w:w="6249" w:type="dxa"/>
            <w:vAlign w:val="center"/>
          </w:tcPr>
          <w:p w14:paraId="6CFE8876" w14:textId="77777777" w:rsidR="00F805D6" w:rsidRPr="00997B81" w:rsidRDefault="00F805D6" w:rsidP="00DA2F46">
            <w:pPr>
              <w:pStyle w:val="BodyText"/>
              <w:rPr>
                <w:rFonts w:cs="Arial"/>
                <w:b/>
                <w:bCs/>
                <w:szCs w:val="22"/>
              </w:rPr>
            </w:pPr>
            <w:r w:rsidRPr="00997B81">
              <w:rPr>
                <w:rFonts w:cs="Arial"/>
                <w:b/>
                <w:bCs/>
                <w:szCs w:val="22"/>
              </w:rPr>
              <w:t>5</w:t>
            </w:r>
          </w:p>
        </w:tc>
      </w:tr>
      <w:tr w:rsidR="00F805D6" w:rsidRPr="00997B81" w14:paraId="7CF8B77C" w14:textId="77777777" w:rsidTr="00DA2F46">
        <w:trPr>
          <w:trHeight w:val="345"/>
        </w:trPr>
        <w:tc>
          <w:tcPr>
            <w:tcW w:w="3073" w:type="dxa"/>
            <w:shd w:val="clear" w:color="auto" w:fill="595959"/>
            <w:vAlign w:val="center"/>
          </w:tcPr>
          <w:p w14:paraId="770B9AE7" w14:textId="77777777" w:rsidR="00F805D6" w:rsidRPr="00997B81" w:rsidRDefault="00F805D6" w:rsidP="00DA2F46">
            <w:pPr>
              <w:pStyle w:val="BodyText"/>
              <w:rPr>
                <w:rFonts w:cs="Arial"/>
                <w:b/>
                <w:color w:val="FFFFFF"/>
                <w:szCs w:val="22"/>
              </w:rPr>
            </w:pPr>
            <w:r w:rsidRPr="00997B81">
              <w:rPr>
                <w:rFonts w:cs="Arial"/>
                <w:b/>
                <w:color w:val="FFFFFF"/>
                <w:szCs w:val="22"/>
              </w:rPr>
              <w:t>Service</w:t>
            </w:r>
          </w:p>
        </w:tc>
        <w:tc>
          <w:tcPr>
            <w:tcW w:w="6249" w:type="dxa"/>
            <w:vAlign w:val="center"/>
          </w:tcPr>
          <w:p w14:paraId="1342991D" w14:textId="77777777" w:rsidR="00F805D6" w:rsidRPr="00997B81" w:rsidRDefault="00F805D6" w:rsidP="00DA2F46">
            <w:pPr>
              <w:pStyle w:val="BodyText"/>
              <w:rPr>
                <w:rFonts w:cs="Arial"/>
                <w:b/>
                <w:bCs/>
                <w:szCs w:val="22"/>
              </w:rPr>
            </w:pPr>
            <w:r w:rsidRPr="00997B81">
              <w:rPr>
                <w:rFonts w:cs="Arial"/>
                <w:b/>
                <w:bCs/>
                <w:szCs w:val="22"/>
              </w:rPr>
              <w:t>Knowsley Blood Pressure lifestyle referral scheme</w:t>
            </w:r>
          </w:p>
        </w:tc>
      </w:tr>
    </w:tbl>
    <w:p w14:paraId="6CA41AF6" w14:textId="77777777" w:rsidR="00F805D6" w:rsidRPr="00997B81" w:rsidRDefault="00F805D6" w:rsidP="00F805D6">
      <w:pPr>
        <w:rPr>
          <w:rFonts w:cs="Arial"/>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805D6" w:rsidRPr="00997B81" w14:paraId="25898AE2" w14:textId="77777777" w:rsidTr="00DA2F46">
        <w:tc>
          <w:tcPr>
            <w:tcW w:w="9356" w:type="dxa"/>
            <w:tcBorders>
              <w:top w:val="single" w:sz="4" w:space="0" w:color="999999"/>
              <w:left w:val="single" w:sz="4" w:space="0" w:color="999999"/>
              <w:bottom w:val="single" w:sz="4" w:space="0" w:color="999999"/>
              <w:right w:val="single" w:sz="4" w:space="0" w:color="999999"/>
            </w:tcBorders>
            <w:shd w:val="clear" w:color="auto" w:fill="666666"/>
          </w:tcPr>
          <w:p w14:paraId="6EAB4693" w14:textId="77777777" w:rsidR="00F805D6" w:rsidRPr="00997B81" w:rsidRDefault="00F805D6" w:rsidP="00DA2F46">
            <w:pPr>
              <w:pStyle w:val="BodyText"/>
              <w:jc w:val="both"/>
              <w:rPr>
                <w:rFonts w:cs="Arial"/>
                <w:b/>
                <w:color w:val="FFFFFF"/>
                <w:szCs w:val="22"/>
              </w:rPr>
            </w:pPr>
          </w:p>
          <w:p w14:paraId="3BBF754E" w14:textId="77777777" w:rsidR="00F805D6" w:rsidRPr="00997B81" w:rsidRDefault="00F805D6" w:rsidP="00DA2F46">
            <w:pPr>
              <w:pStyle w:val="BodyText"/>
              <w:jc w:val="both"/>
              <w:rPr>
                <w:rFonts w:cs="Arial"/>
                <w:b/>
                <w:color w:val="FFFFFF"/>
                <w:szCs w:val="22"/>
              </w:rPr>
            </w:pPr>
            <w:r w:rsidRPr="00997B81">
              <w:rPr>
                <w:rFonts w:cs="Arial"/>
                <w:b/>
                <w:color w:val="FFFFFF"/>
                <w:szCs w:val="22"/>
              </w:rPr>
              <w:t xml:space="preserve">1. Population Needs </w:t>
            </w:r>
          </w:p>
          <w:p w14:paraId="3B040D93" w14:textId="77777777" w:rsidR="00F805D6" w:rsidRPr="00997B81" w:rsidRDefault="00F805D6" w:rsidP="00DA2F46">
            <w:pPr>
              <w:pStyle w:val="BodyText"/>
              <w:jc w:val="both"/>
              <w:rPr>
                <w:rFonts w:cs="Arial"/>
                <w:b/>
                <w:color w:val="FFFFFF"/>
                <w:szCs w:val="22"/>
              </w:rPr>
            </w:pPr>
          </w:p>
        </w:tc>
      </w:tr>
      <w:tr w:rsidR="00F805D6" w:rsidRPr="00997B81" w14:paraId="702AF5C7" w14:textId="77777777" w:rsidTr="00DA2F46">
        <w:tc>
          <w:tcPr>
            <w:tcW w:w="9356" w:type="dxa"/>
            <w:tcBorders>
              <w:top w:val="single" w:sz="4" w:space="0" w:color="999999"/>
              <w:left w:val="single" w:sz="4" w:space="0" w:color="999999"/>
              <w:bottom w:val="single" w:sz="4" w:space="0" w:color="999999"/>
              <w:right w:val="single" w:sz="4" w:space="0" w:color="999999"/>
            </w:tcBorders>
          </w:tcPr>
          <w:p w14:paraId="28A1C8B5" w14:textId="77777777" w:rsidR="00F805D6" w:rsidRPr="00997B81" w:rsidRDefault="00F805D6" w:rsidP="00DA2F46">
            <w:pPr>
              <w:rPr>
                <w:rFonts w:cs="Arial"/>
                <w:bCs/>
                <w:sz w:val="22"/>
                <w:szCs w:val="22"/>
              </w:rPr>
            </w:pPr>
          </w:p>
          <w:p w14:paraId="619DA1F7" w14:textId="77777777" w:rsidR="00F805D6" w:rsidRPr="00997B81" w:rsidRDefault="00F805D6" w:rsidP="00DA2F46">
            <w:pPr>
              <w:rPr>
                <w:rFonts w:cs="Arial"/>
                <w:sz w:val="22"/>
                <w:szCs w:val="22"/>
              </w:rPr>
            </w:pPr>
            <w:r w:rsidRPr="00997B81">
              <w:rPr>
                <w:rFonts w:cs="Arial"/>
                <w:color w:val="000000" w:themeColor="text1"/>
                <w:sz w:val="22"/>
                <w:szCs w:val="22"/>
              </w:rPr>
              <w:t>Cardiovascular Disease (CVD) is the biggest contributor to the gap in life expectancy in the Northwest</w:t>
            </w:r>
            <w:r>
              <w:rPr>
                <w:rFonts w:cs="Arial"/>
                <w:color w:val="000000" w:themeColor="text1"/>
                <w:sz w:val="22"/>
                <w:szCs w:val="22"/>
              </w:rPr>
              <w:t xml:space="preserve"> </w:t>
            </w:r>
            <w:r w:rsidRPr="00997B81">
              <w:rPr>
                <w:rFonts w:cs="Arial"/>
                <w:color w:val="000000" w:themeColor="text1"/>
                <w:sz w:val="22"/>
                <w:szCs w:val="22"/>
              </w:rPr>
              <w:t>of England and a leading cause of premature death and health inequalities in Cheshire and Merseyside (C&amp;M). It is associated with deeply embedded inequalities, particularly in relation to deprivation, certain ethnic minority groups, other demographics (e.g., working age males) and underserved or vulnerable communities (e.g., those with severe mental illness).</w:t>
            </w:r>
          </w:p>
          <w:p w14:paraId="775B753E" w14:textId="77777777" w:rsidR="00F805D6" w:rsidRPr="00997B81" w:rsidRDefault="00F805D6" w:rsidP="00DA2F46">
            <w:pPr>
              <w:rPr>
                <w:rFonts w:cs="Arial"/>
                <w:color w:val="000000" w:themeColor="text1"/>
                <w:sz w:val="22"/>
                <w:szCs w:val="22"/>
              </w:rPr>
            </w:pPr>
          </w:p>
          <w:p w14:paraId="0AADB6AD" w14:textId="77777777" w:rsidR="00F805D6" w:rsidRPr="00997B81" w:rsidRDefault="00F805D6" w:rsidP="00DA2F46">
            <w:pPr>
              <w:rPr>
                <w:rFonts w:cs="Arial"/>
                <w:sz w:val="22"/>
                <w:szCs w:val="22"/>
              </w:rPr>
            </w:pPr>
            <w:r w:rsidRPr="00997B81">
              <w:rPr>
                <w:rFonts w:cs="Arial"/>
                <w:color w:val="000000" w:themeColor="text1"/>
                <w:sz w:val="22"/>
                <w:szCs w:val="22"/>
              </w:rPr>
              <w:t>CVD is largely preventable through a healthy lifestyle and the early detection and control of key</w:t>
            </w:r>
          </w:p>
          <w:p w14:paraId="4545B4BC" w14:textId="77777777" w:rsidR="00F805D6" w:rsidRPr="00997B81" w:rsidRDefault="00F805D6" w:rsidP="00DA2F46">
            <w:pPr>
              <w:rPr>
                <w:rFonts w:cs="Arial"/>
                <w:sz w:val="22"/>
                <w:szCs w:val="22"/>
              </w:rPr>
            </w:pPr>
            <w:r w:rsidRPr="00997B81">
              <w:rPr>
                <w:rFonts w:cs="Arial"/>
                <w:color w:val="000000" w:themeColor="text1"/>
                <w:sz w:val="22"/>
                <w:szCs w:val="22"/>
              </w:rPr>
              <w:t>risk conditions; atrial fibrillation (AF), high blood pressure (hypertension, BP) and high cholesterol</w:t>
            </w:r>
          </w:p>
          <w:p w14:paraId="1E335861" w14:textId="77777777" w:rsidR="00F805D6" w:rsidRPr="00997B81" w:rsidRDefault="00F805D6" w:rsidP="00DA2F46">
            <w:pPr>
              <w:rPr>
                <w:rFonts w:cs="Arial"/>
                <w:color w:val="000000" w:themeColor="text1"/>
                <w:sz w:val="22"/>
                <w:szCs w:val="22"/>
              </w:rPr>
            </w:pPr>
            <w:r w:rsidRPr="00997B81">
              <w:rPr>
                <w:rFonts w:cs="Arial"/>
                <w:color w:val="000000" w:themeColor="text1"/>
                <w:sz w:val="22"/>
                <w:szCs w:val="22"/>
              </w:rPr>
              <w:t>(the ‘ABC’ of CVD prevention). In Cheshire &amp; Merseyside it is estimated that improved blood</w:t>
            </w:r>
          </w:p>
          <w:p w14:paraId="32D2510A" w14:textId="77777777" w:rsidR="00F805D6" w:rsidRPr="00997B81" w:rsidRDefault="00F805D6" w:rsidP="00DA2F46">
            <w:pPr>
              <w:rPr>
                <w:rFonts w:cs="Arial"/>
                <w:sz w:val="22"/>
                <w:szCs w:val="22"/>
              </w:rPr>
            </w:pPr>
            <w:r w:rsidRPr="00997B81">
              <w:rPr>
                <w:rFonts w:cs="Arial"/>
                <w:color w:val="000000" w:themeColor="text1"/>
                <w:sz w:val="22"/>
                <w:szCs w:val="22"/>
              </w:rPr>
              <w:t>pressure control alone could prevent around 1,500 additional heart attacks and strokes in C&amp;M over</w:t>
            </w:r>
          </w:p>
          <w:p w14:paraId="497BB144" w14:textId="77777777" w:rsidR="00F805D6" w:rsidRPr="00997B81" w:rsidRDefault="00F805D6" w:rsidP="00DA2F46">
            <w:pPr>
              <w:rPr>
                <w:rFonts w:cs="Arial"/>
                <w:color w:val="000000" w:themeColor="text1"/>
                <w:sz w:val="22"/>
                <w:szCs w:val="22"/>
              </w:rPr>
            </w:pPr>
            <w:r w:rsidRPr="00997B81">
              <w:rPr>
                <w:rFonts w:cs="Arial"/>
                <w:color w:val="000000" w:themeColor="text1"/>
                <w:sz w:val="22"/>
                <w:szCs w:val="22"/>
              </w:rPr>
              <w:t>the next 3 years. It is for these compelling reasons that in Cheshire and Merseyside, we have a dedicated focus on CVD Prevention and that we are seeking to further advance on cardiovascular disease (CVD) which causes 1 in 4 deaths in</w:t>
            </w:r>
            <w:r w:rsidRPr="00997B81">
              <w:rPr>
                <w:rFonts w:cs="Arial"/>
                <w:sz w:val="22"/>
                <w:szCs w:val="22"/>
              </w:rPr>
              <w:t xml:space="preserve"> </w:t>
            </w:r>
            <w:r w:rsidRPr="00997B81">
              <w:rPr>
                <w:rFonts w:cs="Arial"/>
                <w:color w:val="000000" w:themeColor="text1"/>
                <w:sz w:val="22"/>
                <w:szCs w:val="22"/>
              </w:rPr>
              <w:t>England, and is a leading cause of morbidity,</w:t>
            </w:r>
            <w:r w:rsidRPr="00997B81">
              <w:rPr>
                <w:rFonts w:cs="Arial"/>
                <w:sz w:val="22"/>
                <w:szCs w:val="22"/>
              </w:rPr>
              <w:t xml:space="preserve"> </w:t>
            </w:r>
            <w:r w:rsidRPr="00997B81">
              <w:rPr>
                <w:rFonts w:cs="Arial"/>
                <w:color w:val="000000" w:themeColor="text1"/>
                <w:sz w:val="22"/>
                <w:szCs w:val="22"/>
              </w:rPr>
              <w:t>disability and health inequalities.</w:t>
            </w:r>
          </w:p>
          <w:p w14:paraId="294C663B" w14:textId="77777777" w:rsidR="00F805D6" w:rsidRPr="00997B81" w:rsidRDefault="00F805D6" w:rsidP="00DA2F46">
            <w:pPr>
              <w:rPr>
                <w:rFonts w:cs="Arial"/>
                <w:sz w:val="22"/>
                <w:szCs w:val="22"/>
              </w:rPr>
            </w:pPr>
          </w:p>
          <w:p w14:paraId="72FAA7D1" w14:textId="77777777" w:rsidR="00F805D6" w:rsidRPr="00997B81" w:rsidRDefault="00F805D6" w:rsidP="00DA2F46">
            <w:pPr>
              <w:rPr>
                <w:rFonts w:cs="Arial"/>
                <w:sz w:val="22"/>
                <w:szCs w:val="22"/>
              </w:rPr>
            </w:pPr>
            <w:r w:rsidRPr="00997B81">
              <w:rPr>
                <w:rFonts w:cs="Arial"/>
                <w:color w:val="000000" w:themeColor="text1"/>
                <w:sz w:val="22"/>
                <w:szCs w:val="22"/>
              </w:rPr>
              <w:t>The Covid-19 pandemic has added to the urgency of</w:t>
            </w:r>
            <w:r w:rsidRPr="00997B81">
              <w:rPr>
                <w:rFonts w:cs="Arial"/>
                <w:sz w:val="22"/>
                <w:szCs w:val="22"/>
              </w:rPr>
              <w:t xml:space="preserve"> </w:t>
            </w:r>
            <w:r w:rsidRPr="00997B81">
              <w:rPr>
                <w:rFonts w:cs="Arial"/>
                <w:color w:val="000000" w:themeColor="text1"/>
                <w:sz w:val="22"/>
                <w:szCs w:val="22"/>
              </w:rPr>
              <w:t>tackling CVD because CVD significantly increases the</w:t>
            </w:r>
            <w:r w:rsidRPr="00997B81">
              <w:rPr>
                <w:rFonts w:cs="Arial"/>
                <w:sz w:val="22"/>
                <w:szCs w:val="22"/>
              </w:rPr>
              <w:t xml:space="preserve"> </w:t>
            </w:r>
            <w:r w:rsidRPr="00997B81">
              <w:rPr>
                <w:rFonts w:cs="Arial"/>
                <w:color w:val="000000" w:themeColor="text1"/>
                <w:sz w:val="22"/>
                <w:szCs w:val="22"/>
              </w:rPr>
              <w:t>risk of severe disease and death from Covid-19. CVD is largely preventable and preventing and managing CVD and its risk factors has</w:t>
            </w:r>
            <w:r w:rsidRPr="00997B81">
              <w:rPr>
                <w:rFonts w:cs="Arial"/>
                <w:sz w:val="22"/>
                <w:szCs w:val="22"/>
              </w:rPr>
              <w:t xml:space="preserve"> </w:t>
            </w:r>
            <w:r w:rsidRPr="00997B81">
              <w:rPr>
                <w:rFonts w:cs="Arial"/>
                <w:color w:val="000000" w:themeColor="text1"/>
                <w:sz w:val="22"/>
                <w:szCs w:val="22"/>
              </w:rPr>
              <w:t>the potential to improve population health, reduce</w:t>
            </w:r>
            <w:r w:rsidRPr="00997B81">
              <w:rPr>
                <w:rFonts w:cs="Arial"/>
                <w:sz w:val="22"/>
                <w:szCs w:val="22"/>
              </w:rPr>
              <w:t xml:space="preserve"> </w:t>
            </w:r>
            <w:r w:rsidRPr="00997B81">
              <w:rPr>
                <w:rFonts w:cs="Arial"/>
                <w:color w:val="000000" w:themeColor="text1"/>
                <w:sz w:val="22"/>
                <w:szCs w:val="22"/>
              </w:rPr>
              <w:t>health inequalities and ease pressures on</w:t>
            </w:r>
            <w:r w:rsidRPr="00997B81">
              <w:rPr>
                <w:rFonts w:cs="Arial"/>
                <w:sz w:val="22"/>
                <w:szCs w:val="22"/>
              </w:rPr>
              <w:t xml:space="preserve"> </w:t>
            </w:r>
            <w:r w:rsidRPr="00997B81">
              <w:rPr>
                <w:rFonts w:cs="Arial"/>
                <w:color w:val="000000" w:themeColor="text1"/>
                <w:sz w:val="22"/>
                <w:szCs w:val="22"/>
              </w:rPr>
              <w:t>overstretched health and care systems by reducing</w:t>
            </w:r>
            <w:r w:rsidRPr="00997B81">
              <w:rPr>
                <w:rFonts w:cs="Arial"/>
                <w:sz w:val="22"/>
                <w:szCs w:val="22"/>
              </w:rPr>
              <w:t xml:space="preserve"> </w:t>
            </w:r>
            <w:r w:rsidRPr="00997B81">
              <w:rPr>
                <w:rFonts w:cs="Arial"/>
                <w:color w:val="000000" w:themeColor="text1"/>
                <w:sz w:val="22"/>
                <w:szCs w:val="22"/>
              </w:rPr>
              <w:t xml:space="preserve">demand for services. </w:t>
            </w:r>
          </w:p>
          <w:p w14:paraId="1504FA95" w14:textId="77777777" w:rsidR="00F805D6" w:rsidRPr="00997B81" w:rsidRDefault="00F805D6" w:rsidP="00DA2F46">
            <w:pPr>
              <w:rPr>
                <w:rFonts w:cs="Arial"/>
                <w:color w:val="000000" w:themeColor="text1"/>
                <w:sz w:val="22"/>
                <w:szCs w:val="22"/>
              </w:rPr>
            </w:pPr>
            <w:r w:rsidRPr="00997B81">
              <w:rPr>
                <w:rFonts w:cs="Arial"/>
                <w:color w:val="000000" w:themeColor="text1"/>
                <w:sz w:val="22"/>
                <w:szCs w:val="22"/>
              </w:rPr>
              <w:t>(</w:t>
            </w:r>
            <w:r w:rsidRPr="00997B81">
              <w:rPr>
                <w:rFonts w:cs="Arial"/>
                <w:i/>
                <w:iCs/>
                <w:color w:val="000000" w:themeColor="text1"/>
                <w:sz w:val="22"/>
                <w:szCs w:val="22"/>
              </w:rPr>
              <w:t>The Kings Fund 2023</w:t>
            </w:r>
            <w:r w:rsidRPr="00997B81">
              <w:rPr>
                <w:rFonts w:cs="Arial"/>
                <w:color w:val="000000" w:themeColor="text1"/>
                <w:sz w:val="22"/>
                <w:szCs w:val="22"/>
              </w:rPr>
              <w:t>)</w:t>
            </w:r>
          </w:p>
          <w:p w14:paraId="7B0DF121" w14:textId="77777777" w:rsidR="00F805D6" w:rsidRPr="00997B81" w:rsidRDefault="00F805D6" w:rsidP="00DA2F46">
            <w:pPr>
              <w:rPr>
                <w:rFonts w:cs="Arial"/>
                <w:color w:val="000000" w:themeColor="text1"/>
                <w:sz w:val="22"/>
                <w:szCs w:val="22"/>
              </w:rPr>
            </w:pPr>
          </w:p>
          <w:p w14:paraId="60E8785F" w14:textId="77777777" w:rsidR="00F805D6" w:rsidRPr="00997B81" w:rsidRDefault="00F805D6" w:rsidP="00DA2F46">
            <w:pPr>
              <w:rPr>
                <w:rFonts w:cs="Arial"/>
                <w:color w:val="000000" w:themeColor="text1"/>
                <w:sz w:val="22"/>
                <w:szCs w:val="22"/>
              </w:rPr>
            </w:pPr>
            <w:r w:rsidRPr="00997B81">
              <w:rPr>
                <w:rFonts w:cs="Arial"/>
                <w:color w:val="000000" w:themeColor="text1"/>
                <w:sz w:val="22"/>
                <w:szCs w:val="22"/>
              </w:rPr>
              <w:t xml:space="preserve">The National CVD Prevent Programme, a National Primary Care Audit in England –CVD Prevention </w:t>
            </w:r>
          </w:p>
          <w:p w14:paraId="515EB83E" w14:textId="77777777" w:rsidR="00F805D6" w:rsidRPr="00997B81" w:rsidRDefault="00F805D6" w:rsidP="00DA2F46">
            <w:pPr>
              <w:rPr>
                <w:rFonts w:cs="Arial"/>
                <w:color w:val="000000" w:themeColor="text1"/>
                <w:sz w:val="22"/>
                <w:szCs w:val="22"/>
              </w:rPr>
            </w:pPr>
            <w:r w:rsidRPr="00997B81">
              <w:rPr>
                <w:rFonts w:cs="Arial"/>
                <w:color w:val="000000" w:themeColor="text1"/>
                <w:sz w:val="22"/>
                <w:szCs w:val="22"/>
              </w:rPr>
              <w:t>aims to support the national strategic ambition to prevent 150,000 strokes, heart attacks &amp; cases of</w:t>
            </w:r>
          </w:p>
          <w:p w14:paraId="39CEF34C" w14:textId="77777777" w:rsidR="00F805D6" w:rsidRPr="00997B81" w:rsidRDefault="00F805D6" w:rsidP="00DA2F46">
            <w:pPr>
              <w:rPr>
                <w:rFonts w:cs="Arial"/>
                <w:sz w:val="22"/>
                <w:szCs w:val="22"/>
              </w:rPr>
            </w:pPr>
            <w:r w:rsidRPr="00997B81">
              <w:rPr>
                <w:rFonts w:cs="Arial"/>
                <w:color w:val="000000" w:themeColor="text1"/>
                <w:sz w:val="22"/>
                <w:szCs w:val="22"/>
              </w:rPr>
              <w:t>dementia in the next</w:t>
            </w:r>
            <w:r w:rsidRPr="00997B81">
              <w:rPr>
                <w:rFonts w:cs="Arial"/>
                <w:sz w:val="22"/>
                <w:szCs w:val="22"/>
              </w:rPr>
              <w:t xml:space="preserve"> </w:t>
            </w:r>
            <w:r w:rsidRPr="00997B81">
              <w:rPr>
                <w:rFonts w:cs="Arial"/>
                <w:color w:val="000000" w:themeColor="text1"/>
                <w:sz w:val="22"/>
                <w:szCs w:val="22"/>
              </w:rPr>
              <w:t>10 years.</w:t>
            </w:r>
          </w:p>
          <w:p w14:paraId="53587D1B" w14:textId="77777777" w:rsidR="00F805D6" w:rsidRPr="00997B81" w:rsidRDefault="00F805D6" w:rsidP="00DA2F46">
            <w:pPr>
              <w:rPr>
                <w:rFonts w:cs="Arial"/>
                <w:color w:val="000000" w:themeColor="text1"/>
                <w:sz w:val="22"/>
                <w:szCs w:val="22"/>
              </w:rPr>
            </w:pPr>
            <w:r w:rsidRPr="00997B81">
              <w:rPr>
                <w:rFonts w:cs="Arial"/>
                <w:color w:val="000000" w:themeColor="text1"/>
                <w:sz w:val="22"/>
                <w:szCs w:val="22"/>
              </w:rPr>
              <w:t>For example, successfully optimising the diagnosis and treatment of high blood pressure in line with</w:t>
            </w:r>
          </w:p>
          <w:p w14:paraId="04C44E21" w14:textId="77777777" w:rsidR="00F805D6" w:rsidRPr="00997B81" w:rsidRDefault="00F805D6" w:rsidP="00DA2F46">
            <w:pPr>
              <w:rPr>
                <w:rFonts w:cs="Arial"/>
                <w:sz w:val="22"/>
                <w:szCs w:val="22"/>
              </w:rPr>
            </w:pPr>
            <w:r w:rsidRPr="00997B81">
              <w:rPr>
                <w:rFonts w:cs="Arial"/>
                <w:color w:val="000000" w:themeColor="text1"/>
                <w:sz w:val="22"/>
                <w:szCs w:val="22"/>
              </w:rPr>
              <w:t>the national Long-Term Plan ambitions would</w:t>
            </w:r>
            <w:r w:rsidRPr="00997B81">
              <w:rPr>
                <w:rFonts w:cs="Arial"/>
                <w:sz w:val="22"/>
                <w:szCs w:val="22"/>
              </w:rPr>
              <w:t xml:space="preserve"> </w:t>
            </w:r>
            <w:r w:rsidRPr="00997B81">
              <w:rPr>
                <w:rFonts w:cs="Arial"/>
                <w:color w:val="000000" w:themeColor="text1"/>
                <w:sz w:val="22"/>
                <w:szCs w:val="22"/>
              </w:rPr>
              <w:t>prevent 244 heart attacks in Cheshire</w:t>
            </w:r>
            <w:r w:rsidRPr="00997B81">
              <w:rPr>
                <w:rFonts w:cs="Arial"/>
                <w:sz w:val="22"/>
                <w:szCs w:val="22"/>
              </w:rPr>
              <w:t xml:space="preserve"> </w:t>
            </w:r>
            <w:r w:rsidRPr="00997B81">
              <w:rPr>
                <w:rFonts w:cs="Arial"/>
                <w:color w:val="000000" w:themeColor="text1"/>
                <w:sz w:val="22"/>
                <w:szCs w:val="22"/>
              </w:rPr>
              <w:t>and Merseyside.</w:t>
            </w:r>
          </w:p>
          <w:p w14:paraId="79F5E8E1" w14:textId="77777777" w:rsidR="00F805D6" w:rsidRPr="00997B81" w:rsidRDefault="00F805D6" w:rsidP="00DA2F46">
            <w:pPr>
              <w:rPr>
                <w:rFonts w:cs="Arial"/>
                <w:color w:val="000000" w:themeColor="text1"/>
                <w:sz w:val="22"/>
                <w:szCs w:val="22"/>
              </w:rPr>
            </w:pPr>
          </w:p>
          <w:p w14:paraId="69F3F5F9" w14:textId="77777777" w:rsidR="00F805D6" w:rsidRPr="00997B81" w:rsidRDefault="00F805D6" w:rsidP="00DA2F46">
            <w:pPr>
              <w:rPr>
                <w:rFonts w:cs="Arial"/>
                <w:color w:val="000000" w:themeColor="text1"/>
                <w:sz w:val="22"/>
                <w:szCs w:val="22"/>
              </w:rPr>
            </w:pPr>
            <w:r w:rsidRPr="00997B81">
              <w:rPr>
                <w:rFonts w:cs="Arial"/>
                <w:color w:val="000000" w:themeColor="text1"/>
                <w:sz w:val="22"/>
                <w:szCs w:val="22"/>
              </w:rPr>
              <w:t xml:space="preserve">Nearly 300,000 people in Cheshire and Merseyside are estimated to have undiagnosed high blood pressure (Hypertension). In Knowsley it is estimated there is over 16,000 individuals who have undiagnosed hypertension. Hypertension is known as the silent killer as symptoms don’t always show and can lead to serious medical problems including heart attacks, stroke, heart failure, chronic kidney disease and vascular dementia. </w:t>
            </w:r>
          </w:p>
          <w:p w14:paraId="4F304392" w14:textId="77777777" w:rsidR="00F805D6" w:rsidRPr="00997B81" w:rsidRDefault="00F805D6" w:rsidP="00DA2F46">
            <w:pPr>
              <w:rPr>
                <w:rFonts w:cs="Arial"/>
                <w:sz w:val="22"/>
                <w:szCs w:val="22"/>
                <w:lang w:val="en"/>
              </w:rPr>
            </w:pPr>
          </w:p>
          <w:p w14:paraId="099D2A62" w14:textId="77777777" w:rsidR="00F805D6" w:rsidRPr="00997B81" w:rsidRDefault="00F805D6" w:rsidP="00DA2F46">
            <w:pPr>
              <w:rPr>
                <w:rFonts w:cs="Arial"/>
                <w:sz w:val="22"/>
                <w:szCs w:val="22"/>
                <w:lang w:val="en"/>
              </w:rPr>
            </w:pPr>
            <w:r w:rsidRPr="00997B81">
              <w:rPr>
                <w:rFonts w:cs="Arial"/>
                <w:sz w:val="22"/>
                <w:szCs w:val="22"/>
                <w:lang w:val="en"/>
              </w:rPr>
              <w:t>If resting blood pressures are between 120/80 mmHg and 139/89 mmHg it can be a sign of an insidious progression of blood pressure towards hypertensive levels (≥140/90 mmHg). Blood pressure that is the high side of normal is associated with increased cardiovascular risk and end organ damage compared with individuals who are normotensive.</w:t>
            </w:r>
          </w:p>
          <w:p w14:paraId="6D6FAC1E" w14:textId="77777777" w:rsidR="00F805D6" w:rsidRPr="00997B81" w:rsidRDefault="00F805D6" w:rsidP="00DA2F46">
            <w:pPr>
              <w:rPr>
                <w:rFonts w:cs="Arial"/>
                <w:b/>
                <w:bCs/>
                <w:sz w:val="22"/>
                <w:szCs w:val="22"/>
              </w:rPr>
            </w:pPr>
          </w:p>
        </w:tc>
      </w:tr>
      <w:tr w:rsidR="00F805D6" w:rsidRPr="00997B81" w14:paraId="765D739D" w14:textId="77777777" w:rsidTr="00DA2F46">
        <w:tc>
          <w:tcPr>
            <w:tcW w:w="9356" w:type="dxa"/>
            <w:tcBorders>
              <w:top w:val="single" w:sz="4" w:space="0" w:color="999999"/>
              <w:left w:val="single" w:sz="4" w:space="0" w:color="999999"/>
              <w:bottom w:val="single" w:sz="4" w:space="0" w:color="999999"/>
              <w:right w:val="single" w:sz="4" w:space="0" w:color="999999"/>
            </w:tcBorders>
            <w:shd w:val="clear" w:color="auto" w:fill="666666"/>
          </w:tcPr>
          <w:p w14:paraId="3B23CF4D" w14:textId="77777777" w:rsidR="00F805D6" w:rsidRPr="00997B81" w:rsidRDefault="00F805D6" w:rsidP="00DA2F46">
            <w:pPr>
              <w:pStyle w:val="BodyText"/>
              <w:jc w:val="both"/>
              <w:rPr>
                <w:rFonts w:cs="Arial"/>
                <w:b/>
                <w:color w:val="FFFFFF"/>
                <w:szCs w:val="22"/>
              </w:rPr>
            </w:pPr>
          </w:p>
          <w:p w14:paraId="67D48820" w14:textId="77777777" w:rsidR="00F805D6" w:rsidRPr="00997B81" w:rsidRDefault="00F805D6" w:rsidP="00DA2F46">
            <w:pPr>
              <w:pStyle w:val="BodyText"/>
              <w:jc w:val="both"/>
              <w:rPr>
                <w:rFonts w:cs="Arial"/>
                <w:b/>
                <w:color w:val="FFFFFF"/>
                <w:szCs w:val="22"/>
              </w:rPr>
            </w:pPr>
            <w:r w:rsidRPr="00997B81">
              <w:rPr>
                <w:rFonts w:cs="Arial"/>
                <w:b/>
                <w:color w:val="FFFFFF"/>
                <w:szCs w:val="22"/>
              </w:rPr>
              <w:lastRenderedPageBreak/>
              <w:t>2. Intention of the Service: Key Service Outcomes</w:t>
            </w:r>
          </w:p>
          <w:p w14:paraId="5F771495" w14:textId="77777777" w:rsidR="00F805D6" w:rsidRPr="00997B81" w:rsidRDefault="00F805D6" w:rsidP="00DA2F46">
            <w:pPr>
              <w:pStyle w:val="BodyText"/>
              <w:jc w:val="both"/>
              <w:rPr>
                <w:rFonts w:cs="Arial"/>
                <w:b/>
                <w:color w:val="FFFFFF"/>
                <w:szCs w:val="22"/>
                <w:u w:val="single"/>
              </w:rPr>
            </w:pPr>
          </w:p>
        </w:tc>
      </w:tr>
      <w:tr w:rsidR="00F805D6" w:rsidRPr="00997B81" w14:paraId="49AB4A6D" w14:textId="77777777" w:rsidTr="00DA2F46">
        <w:tc>
          <w:tcPr>
            <w:tcW w:w="9356" w:type="dxa"/>
            <w:tcBorders>
              <w:top w:val="single" w:sz="4" w:space="0" w:color="999999"/>
              <w:left w:val="single" w:sz="4" w:space="0" w:color="999999"/>
              <w:bottom w:val="single" w:sz="4" w:space="0" w:color="999999"/>
              <w:right w:val="single" w:sz="4" w:space="0" w:color="999999"/>
            </w:tcBorders>
          </w:tcPr>
          <w:p w14:paraId="7A2945EB" w14:textId="77777777" w:rsidR="00F805D6" w:rsidRPr="00997B81" w:rsidRDefault="00F805D6" w:rsidP="00DA2F46">
            <w:pPr>
              <w:pStyle w:val="BodyText"/>
              <w:jc w:val="both"/>
              <w:rPr>
                <w:rFonts w:cs="Arial"/>
                <w:bCs/>
                <w:szCs w:val="22"/>
              </w:rPr>
            </w:pPr>
          </w:p>
          <w:p w14:paraId="1C6C3A31" w14:textId="77777777" w:rsidR="00F805D6" w:rsidRPr="00997B81" w:rsidRDefault="00F805D6" w:rsidP="00DA2F46">
            <w:pPr>
              <w:pStyle w:val="BodyText"/>
              <w:jc w:val="both"/>
              <w:rPr>
                <w:rFonts w:cs="Arial"/>
                <w:bCs/>
                <w:szCs w:val="22"/>
              </w:rPr>
            </w:pPr>
            <w:r w:rsidRPr="00997B81">
              <w:rPr>
                <w:rFonts w:cs="Arial"/>
                <w:bCs/>
                <w:szCs w:val="22"/>
              </w:rPr>
              <w:t>An incentivised Blood Pressure Check referral scheme to lifestyle interventions for Community Pharmacies.</w:t>
            </w:r>
          </w:p>
          <w:p w14:paraId="7F0119FA" w14:textId="77777777" w:rsidR="00F805D6" w:rsidRPr="00997B81" w:rsidRDefault="00F805D6" w:rsidP="00DA2F46">
            <w:pPr>
              <w:pStyle w:val="BodyText"/>
              <w:jc w:val="both"/>
              <w:rPr>
                <w:rFonts w:cs="Arial"/>
                <w:bCs/>
                <w:szCs w:val="22"/>
              </w:rPr>
            </w:pPr>
          </w:p>
          <w:p w14:paraId="684E8427" w14:textId="77777777" w:rsidR="00F805D6" w:rsidRPr="00997B81" w:rsidRDefault="00F805D6" w:rsidP="00DA2F46">
            <w:pPr>
              <w:pStyle w:val="BodyText"/>
              <w:rPr>
                <w:rFonts w:cs="Arial"/>
                <w:bCs/>
                <w:szCs w:val="22"/>
              </w:rPr>
            </w:pPr>
            <w:r w:rsidRPr="00997B81">
              <w:rPr>
                <w:rFonts w:cs="Arial"/>
                <w:bCs/>
                <w:szCs w:val="22"/>
              </w:rPr>
              <w:t>The NHS Community Pharmacy Blood Pressure Check Service supports risk identification and prevention of cardiovascular disease (CVD).</w:t>
            </w:r>
          </w:p>
          <w:p w14:paraId="2730C195" w14:textId="77777777" w:rsidR="00F805D6" w:rsidRPr="00997B81" w:rsidRDefault="00F805D6" w:rsidP="00DA2F46">
            <w:pPr>
              <w:pStyle w:val="BodyText"/>
              <w:rPr>
                <w:rFonts w:cs="Arial"/>
                <w:bCs/>
                <w:szCs w:val="22"/>
              </w:rPr>
            </w:pPr>
          </w:p>
          <w:p w14:paraId="147F3CCF" w14:textId="77777777" w:rsidR="00F805D6" w:rsidRPr="00997B81" w:rsidRDefault="00F805D6" w:rsidP="00DA2F46">
            <w:pPr>
              <w:pStyle w:val="BodyText"/>
              <w:rPr>
                <w:rFonts w:cs="Arial"/>
                <w:bCs/>
                <w:szCs w:val="22"/>
              </w:rPr>
            </w:pPr>
            <w:r w:rsidRPr="00997B81">
              <w:rPr>
                <w:rFonts w:cs="Arial"/>
                <w:bCs/>
                <w:szCs w:val="22"/>
              </w:rPr>
              <w:t>This service will:</w:t>
            </w:r>
          </w:p>
          <w:p w14:paraId="704C9635" w14:textId="77777777" w:rsidR="00F805D6" w:rsidRPr="00997B81" w:rsidRDefault="00F805D6" w:rsidP="00F805D6">
            <w:pPr>
              <w:pStyle w:val="BodyText"/>
              <w:numPr>
                <w:ilvl w:val="0"/>
                <w:numId w:val="1"/>
              </w:numPr>
              <w:rPr>
                <w:rFonts w:cs="Arial"/>
                <w:bCs/>
                <w:szCs w:val="22"/>
              </w:rPr>
            </w:pPr>
            <w:r w:rsidRPr="00997B81">
              <w:rPr>
                <w:rFonts w:cs="Arial"/>
                <w:bCs/>
                <w:szCs w:val="22"/>
              </w:rPr>
              <w:t>identify people over the age of 40 who have previously not been diagnosed with hypertension (high blood pressure), and to refer those with suspected hypertension for appropriate management.</w:t>
            </w:r>
          </w:p>
          <w:p w14:paraId="452B5442" w14:textId="77777777" w:rsidR="00F805D6" w:rsidRPr="00997B81" w:rsidRDefault="00F805D6" w:rsidP="00F805D6">
            <w:pPr>
              <w:pStyle w:val="BodyText"/>
              <w:numPr>
                <w:ilvl w:val="0"/>
                <w:numId w:val="1"/>
              </w:numPr>
              <w:rPr>
                <w:rFonts w:cs="Arial"/>
                <w:bCs/>
                <w:szCs w:val="22"/>
              </w:rPr>
            </w:pPr>
            <w:r w:rsidRPr="00997B81">
              <w:rPr>
                <w:rFonts w:cs="Arial"/>
                <w:bCs/>
                <w:szCs w:val="22"/>
              </w:rPr>
              <w:t xml:space="preserve">promote healthy behaviours to service users and offer a referral into the Healthy Knowsley Service. </w:t>
            </w:r>
          </w:p>
          <w:p w14:paraId="2A4C3C1F" w14:textId="77777777" w:rsidR="00F805D6" w:rsidRPr="00997B81" w:rsidRDefault="00F805D6" w:rsidP="00F805D6">
            <w:pPr>
              <w:pStyle w:val="BodyText"/>
              <w:numPr>
                <w:ilvl w:val="0"/>
                <w:numId w:val="1"/>
              </w:numPr>
              <w:jc w:val="both"/>
              <w:rPr>
                <w:rFonts w:cs="Arial"/>
                <w:bCs/>
                <w:szCs w:val="22"/>
              </w:rPr>
            </w:pPr>
            <w:r w:rsidRPr="00997B81">
              <w:rPr>
                <w:rFonts w:cs="Arial"/>
                <w:bCs/>
                <w:szCs w:val="22"/>
              </w:rPr>
              <w:t>refer people identified as likely to have high blood pressure to general practice, for ongoing care to manage their blood pressure.</w:t>
            </w:r>
          </w:p>
        </w:tc>
      </w:tr>
      <w:tr w:rsidR="00F805D6" w:rsidRPr="00997B81" w14:paraId="54FC829A" w14:textId="77777777" w:rsidTr="00DA2F46">
        <w:tc>
          <w:tcPr>
            <w:tcW w:w="9356" w:type="dxa"/>
            <w:tcBorders>
              <w:top w:val="single" w:sz="4" w:space="0" w:color="999999"/>
              <w:left w:val="single" w:sz="4" w:space="0" w:color="999999"/>
              <w:bottom w:val="single" w:sz="4" w:space="0" w:color="999999"/>
              <w:right w:val="single" w:sz="4" w:space="0" w:color="999999"/>
            </w:tcBorders>
            <w:shd w:val="clear" w:color="auto" w:fill="666666"/>
          </w:tcPr>
          <w:p w14:paraId="4B531748" w14:textId="77777777" w:rsidR="00F805D6" w:rsidRPr="00997B81" w:rsidRDefault="00F805D6" w:rsidP="00DA2F46">
            <w:pPr>
              <w:pStyle w:val="BodyText"/>
              <w:jc w:val="both"/>
              <w:rPr>
                <w:rFonts w:cs="Arial"/>
                <w:b/>
                <w:color w:val="FFFFFF"/>
                <w:szCs w:val="22"/>
                <w:u w:val="single"/>
              </w:rPr>
            </w:pPr>
          </w:p>
          <w:p w14:paraId="4DB0FD45" w14:textId="77777777" w:rsidR="00F805D6" w:rsidRPr="00997B81" w:rsidRDefault="00F805D6" w:rsidP="00DA2F46">
            <w:pPr>
              <w:pStyle w:val="BodyText"/>
              <w:jc w:val="both"/>
              <w:rPr>
                <w:rFonts w:cs="Arial"/>
                <w:b/>
                <w:color w:val="FFFFFF"/>
                <w:szCs w:val="22"/>
              </w:rPr>
            </w:pPr>
            <w:r w:rsidRPr="00997B81">
              <w:rPr>
                <w:rFonts w:cs="Arial"/>
                <w:b/>
                <w:color w:val="FFFFFF"/>
                <w:szCs w:val="22"/>
              </w:rPr>
              <w:t>3. Service Pathway – Action flow chart</w:t>
            </w:r>
          </w:p>
          <w:p w14:paraId="19F13149" w14:textId="77777777" w:rsidR="00F805D6" w:rsidRPr="00997B81" w:rsidRDefault="00F805D6" w:rsidP="00DA2F46">
            <w:pPr>
              <w:pStyle w:val="BodyText"/>
              <w:jc w:val="both"/>
              <w:rPr>
                <w:rFonts w:cs="Arial"/>
                <w:b/>
                <w:color w:val="FFFFFF"/>
                <w:szCs w:val="22"/>
                <w:u w:val="single"/>
              </w:rPr>
            </w:pPr>
          </w:p>
        </w:tc>
      </w:tr>
      <w:tr w:rsidR="00F805D6" w:rsidRPr="00997B81" w14:paraId="39456D5D" w14:textId="77777777" w:rsidTr="00DA2F46">
        <w:tc>
          <w:tcPr>
            <w:tcW w:w="9356" w:type="dxa"/>
            <w:tcBorders>
              <w:top w:val="single" w:sz="4" w:space="0" w:color="999999"/>
              <w:left w:val="single" w:sz="4" w:space="0" w:color="999999"/>
              <w:bottom w:val="single" w:sz="4" w:space="0" w:color="999999"/>
              <w:right w:val="single" w:sz="4" w:space="0" w:color="999999"/>
            </w:tcBorders>
          </w:tcPr>
          <w:p w14:paraId="762B39EA" w14:textId="77777777" w:rsidR="00F805D6" w:rsidRPr="00997B81" w:rsidRDefault="00F805D6" w:rsidP="00DA2F46">
            <w:pPr>
              <w:rPr>
                <w:rFonts w:cs="Arial"/>
                <w:bCs/>
                <w:sz w:val="22"/>
                <w:szCs w:val="22"/>
              </w:rPr>
            </w:pPr>
          </w:p>
          <w:p w14:paraId="7359BC64" w14:textId="77777777" w:rsidR="00F805D6" w:rsidRPr="00997B81" w:rsidRDefault="00F805D6" w:rsidP="00DA2F46">
            <w:pPr>
              <w:rPr>
                <w:rFonts w:cs="Arial"/>
                <w:sz w:val="22"/>
                <w:szCs w:val="22"/>
              </w:rPr>
            </w:pPr>
            <w:r w:rsidRPr="00997B81">
              <w:rPr>
                <w:rFonts w:cs="Arial"/>
                <w:sz w:val="22"/>
                <w:szCs w:val="22"/>
              </w:rPr>
              <w:t xml:space="preserve">The following is a flow chart of who you could be referring to the Healthy Knowsley Service, and the process required to do this through </w:t>
            </w:r>
            <w:proofErr w:type="spellStart"/>
            <w:r w:rsidRPr="00997B81">
              <w:rPr>
                <w:rFonts w:cs="Arial"/>
                <w:sz w:val="22"/>
                <w:szCs w:val="22"/>
              </w:rPr>
              <w:t>Pharmoutcomes</w:t>
            </w:r>
            <w:proofErr w:type="spellEnd"/>
            <w:r w:rsidRPr="00997B81">
              <w:rPr>
                <w:rFonts w:cs="Arial"/>
                <w:sz w:val="22"/>
                <w:szCs w:val="22"/>
              </w:rPr>
              <w:t>:</w:t>
            </w:r>
          </w:p>
          <w:p w14:paraId="549D483B" w14:textId="77777777" w:rsidR="00F805D6" w:rsidRPr="00997B81" w:rsidRDefault="00F805D6" w:rsidP="00DA2F46">
            <w:pPr>
              <w:rPr>
                <w:rFonts w:cs="Arial"/>
                <w:sz w:val="22"/>
                <w:szCs w:val="22"/>
              </w:rPr>
            </w:pPr>
          </w:p>
          <w:p w14:paraId="30E8DBAC" w14:textId="77777777" w:rsidR="00F805D6" w:rsidRPr="00997B81" w:rsidRDefault="00F805D6" w:rsidP="00DA2F46">
            <w:pPr>
              <w:rPr>
                <w:rFonts w:cs="Arial"/>
                <w:sz w:val="22"/>
                <w:szCs w:val="22"/>
              </w:rPr>
            </w:pPr>
            <w:r w:rsidRPr="00997B81">
              <w:rPr>
                <w:rFonts w:cs="Arial"/>
                <w:bCs/>
                <w:noProof/>
                <w:sz w:val="22"/>
                <w:szCs w:val="22"/>
                <w:lang w:eastAsia="en-GB"/>
              </w:rPr>
              <w:drawing>
                <wp:anchor distT="0" distB="0" distL="114300" distR="114300" simplePos="0" relativeHeight="251659264" behindDoc="1" locked="0" layoutInCell="1" allowOverlap="1" wp14:anchorId="2067CCB4" wp14:editId="4924CA84">
                  <wp:simplePos x="0" y="0"/>
                  <wp:positionH relativeFrom="column">
                    <wp:posOffset>377825</wp:posOffset>
                  </wp:positionH>
                  <wp:positionV relativeFrom="paragraph">
                    <wp:posOffset>104140</wp:posOffset>
                  </wp:positionV>
                  <wp:extent cx="5146040" cy="3253105"/>
                  <wp:effectExtent l="209550" t="0" r="245110" b="0"/>
                  <wp:wrapTight wrapText="bothSides">
                    <wp:wrapPolygon edited="0">
                      <wp:start x="-160" y="253"/>
                      <wp:lineTo x="-160" y="2530"/>
                      <wp:lineTo x="-800" y="2530"/>
                      <wp:lineTo x="-800" y="8475"/>
                      <wp:lineTo x="9995" y="8601"/>
                      <wp:lineTo x="9995" y="10499"/>
                      <wp:lineTo x="-880" y="10878"/>
                      <wp:lineTo x="-880" y="14673"/>
                      <wp:lineTo x="10235" y="14673"/>
                      <wp:lineTo x="9995" y="16570"/>
                      <wp:lineTo x="-880" y="16949"/>
                      <wp:lineTo x="-880" y="20238"/>
                      <wp:lineTo x="22549" y="20238"/>
                      <wp:lineTo x="22549" y="17202"/>
                      <wp:lineTo x="21110" y="16949"/>
                      <wp:lineTo x="10955" y="16696"/>
                      <wp:lineTo x="11274" y="14799"/>
                      <wp:lineTo x="17751" y="14673"/>
                      <wp:lineTo x="22549" y="13787"/>
                      <wp:lineTo x="22549" y="11131"/>
                      <wp:lineTo x="21110" y="10878"/>
                      <wp:lineTo x="10955" y="10625"/>
                      <wp:lineTo x="10955" y="8728"/>
                      <wp:lineTo x="10875" y="8601"/>
                      <wp:lineTo x="20230" y="8601"/>
                      <wp:lineTo x="22549" y="8222"/>
                      <wp:lineTo x="22469" y="4554"/>
                      <wp:lineTo x="21749" y="2530"/>
                      <wp:lineTo x="21749" y="253"/>
                      <wp:lineTo x="-160" y="253"/>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14:paraId="70401FF6" w14:textId="77777777" w:rsidR="00F805D6" w:rsidRPr="00997B81" w:rsidRDefault="00F805D6" w:rsidP="00DA2F46">
            <w:pPr>
              <w:rPr>
                <w:rFonts w:cs="Arial"/>
                <w:sz w:val="22"/>
                <w:szCs w:val="22"/>
              </w:rPr>
            </w:pPr>
          </w:p>
          <w:p w14:paraId="67170F55" w14:textId="77777777" w:rsidR="00F805D6" w:rsidRPr="00997B81" w:rsidRDefault="00F805D6" w:rsidP="00DA2F46">
            <w:pPr>
              <w:rPr>
                <w:rFonts w:cs="Arial"/>
                <w:sz w:val="22"/>
                <w:szCs w:val="22"/>
              </w:rPr>
            </w:pPr>
          </w:p>
          <w:p w14:paraId="7AB43087" w14:textId="77777777" w:rsidR="00F805D6" w:rsidRPr="00997B81" w:rsidRDefault="00F805D6" w:rsidP="00DA2F46">
            <w:pPr>
              <w:pStyle w:val="BodyText"/>
              <w:rPr>
                <w:rFonts w:cs="Arial"/>
                <w:b/>
                <w:bCs/>
                <w:i/>
                <w:szCs w:val="22"/>
              </w:rPr>
            </w:pPr>
          </w:p>
          <w:p w14:paraId="6DB6A686" w14:textId="77777777" w:rsidR="00F805D6" w:rsidRPr="00997B81" w:rsidRDefault="00F805D6" w:rsidP="00DA2F46">
            <w:pPr>
              <w:pStyle w:val="BodyText"/>
              <w:rPr>
                <w:rFonts w:cs="Arial"/>
                <w:bCs/>
                <w:i/>
                <w:szCs w:val="22"/>
              </w:rPr>
            </w:pPr>
          </w:p>
          <w:p w14:paraId="131F49B6" w14:textId="77777777" w:rsidR="00F805D6" w:rsidRPr="00997B81" w:rsidRDefault="00F805D6" w:rsidP="00DA2F46">
            <w:pPr>
              <w:pStyle w:val="BodyText"/>
              <w:rPr>
                <w:rFonts w:cs="Arial"/>
                <w:bCs/>
                <w:i/>
                <w:szCs w:val="22"/>
              </w:rPr>
            </w:pPr>
            <w:r w:rsidRPr="00997B81">
              <w:rPr>
                <w:rFonts w:cs="Arial"/>
                <w:bCs/>
                <w:i/>
                <w:szCs w:val="22"/>
              </w:rPr>
              <w:t xml:space="preserve">**Please note that this service is for individuals who are either a Knowsley resident or have a Knowsley GP. </w:t>
            </w:r>
          </w:p>
          <w:p w14:paraId="325B754E" w14:textId="77777777" w:rsidR="00F805D6" w:rsidRPr="00997B81" w:rsidRDefault="00F805D6" w:rsidP="00DA2F46">
            <w:pPr>
              <w:pStyle w:val="BodyText"/>
              <w:rPr>
                <w:rFonts w:cs="Arial"/>
                <w:bCs/>
                <w:i/>
                <w:szCs w:val="22"/>
              </w:rPr>
            </w:pPr>
          </w:p>
          <w:p w14:paraId="79AFEEEC" w14:textId="77777777" w:rsidR="00F805D6" w:rsidRPr="00997B81" w:rsidRDefault="00F805D6" w:rsidP="00DA2F46">
            <w:pPr>
              <w:pStyle w:val="BodyText"/>
              <w:rPr>
                <w:rFonts w:cs="Arial"/>
                <w:bCs/>
                <w:i/>
                <w:szCs w:val="22"/>
              </w:rPr>
            </w:pPr>
            <w:r w:rsidRPr="00997B81">
              <w:rPr>
                <w:rFonts w:cs="Arial"/>
                <w:bCs/>
                <w:i/>
                <w:szCs w:val="22"/>
              </w:rPr>
              <w:t>Individuals who are above the 139/89 mmHg threshold may still want and greatly benefit from a Healthy Knowsley Service referral, and this is welcomed, however this referral will be made following consultation with their GP.</w:t>
            </w:r>
          </w:p>
          <w:p w14:paraId="6D6DDFC6" w14:textId="77777777" w:rsidR="00F805D6" w:rsidRPr="00997B81" w:rsidRDefault="00F805D6" w:rsidP="00DA2F46">
            <w:pPr>
              <w:pStyle w:val="BodyText"/>
              <w:rPr>
                <w:rFonts w:cs="Arial"/>
                <w:bCs/>
                <w:szCs w:val="22"/>
              </w:rPr>
            </w:pPr>
          </w:p>
          <w:p w14:paraId="2B2E9B81" w14:textId="77777777" w:rsidR="00F805D6" w:rsidRPr="00997B81" w:rsidRDefault="00F805D6" w:rsidP="00DA2F46">
            <w:pPr>
              <w:pStyle w:val="BodyText"/>
              <w:rPr>
                <w:rFonts w:cs="Arial"/>
                <w:bCs/>
                <w:szCs w:val="22"/>
              </w:rPr>
            </w:pPr>
          </w:p>
          <w:p w14:paraId="36105EFC" w14:textId="77777777" w:rsidR="00F805D6" w:rsidRPr="00997B81" w:rsidRDefault="00F805D6" w:rsidP="00DA2F46">
            <w:pPr>
              <w:pStyle w:val="BodyText"/>
              <w:rPr>
                <w:rFonts w:cs="Arial"/>
                <w:b/>
                <w:szCs w:val="22"/>
                <w:u w:val="single"/>
              </w:rPr>
            </w:pPr>
            <w:r w:rsidRPr="00997B81">
              <w:rPr>
                <w:rFonts w:cs="Arial"/>
                <w:b/>
                <w:szCs w:val="22"/>
                <w:u w:val="single"/>
              </w:rPr>
              <w:lastRenderedPageBreak/>
              <w:t xml:space="preserve">Payments </w:t>
            </w:r>
          </w:p>
          <w:p w14:paraId="2D18A916" w14:textId="77777777" w:rsidR="00F805D6" w:rsidRPr="00997B81" w:rsidRDefault="00F805D6" w:rsidP="00DA2F46">
            <w:pPr>
              <w:pStyle w:val="BodyText"/>
              <w:rPr>
                <w:rFonts w:cs="Arial"/>
                <w:b/>
                <w:szCs w:val="22"/>
                <w:u w:val="single"/>
              </w:rPr>
            </w:pPr>
          </w:p>
          <w:p w14:paraId="261B8C08" w14:textId="77777777" w:rsidR="00F805D6" w:rsidRPr="00997B81" w:rsidRDefault="00F805D6" w:rsidP="00DA2F46">
            <w:pPr>
              <w:pStyle w:val="BodyText"/>
              <w:rPr>
                <w:rFonts w:cs="Arial"/>
                <w:b/>
                <w:szCs w:val="22"/>
              </w:rPr>
            </w:pPr>
            <w:r w:rsidRPr="00997B81">
              <w:rPr>
                <w:rFonts w:cs="Arial"/>
                <w:b/>
                <w:szCs w:val="22"/>
              </w:rPr>
              <w:t xml:space="preserve">A payment of £5.00 will be made for each lifestyle referral made - paid monthly via </w:t>
            </w:r>
            <w:proofErr w:type="spellStart"/>
            <w:r w:rsidRPr="00997B81">
              <w:rPr>
                <w:rFonts w:cs="Arial"/>
                <w:b/>
                <w:szCs w:val="22"/>
              </w:rPr>
              <w:t>PharmOutcomes</w:t>
            </w:r>
            <w:proofErr w:type="spellEnd"/>
          </w:p>
          <w:p w14:paraId="09D7DCFC" w14:textId="77777777" w:rsidR="00F805D6" w:rsidRPr="00997B81" w:rsidRDefault="00F805D6" w:rsidP="00DA2F46">
            <w:pPr>
              <w:pStyle w:val="BodyText"/>
              <w:rPr>
                <w:rFonts w:cs="Arial"/>
                <w:b/>
                <w:szCs w:val="22"/>
              </w:rPr>
            </w:pPr>
          </w:p>
        </w:tc>
      </w:tr>
      <w:tr w:rsidR="00F805D6" w:rsidRPr="00997B81" w14:paraId="5345A9AB" w14:textId="77777777" w:rsidTr="00DA2F46">
        <w:tc>
          <w:tcPr>
            <w:tcW w:w="9356" w:type="dxa"/>
            <w:tcBorders>
              <w:top w:val="single" w:sz="4" w:space="0" w:color="999999"/>
              <w:left w:val="single" w:sz="4" w:space="0" w:color="999999"/>
              <w:bottom w:val="single" w:sz="4" w:space="0" w:color="999999"/>
              <w:right w:val="single" w:sz="4" w:space="0" w:color="999999"/>
            </w:tcBorders>
            <w:shd w:val="clear" w:color="auto" w:fill="666666"/>
          </w:tcPr>
          <w:p w14:paraId="37815D01" w14:textId="77777777" w:rsidR="00F805D6" w:rsidRPr="00997B81" w:rsidRDefault="00F805D6" w:rsidP="00DA2F46">
            <w:pPr>
              <w:pStyle w:val="BodyText"/>
              <w:jc w:val="both"/>
              <w:rPr>
                <w:rFonts w:cs="Arial"/>
                <w:b/>
                <w:color w:val="FFFFFF"/>
                <w:szCs w:val="22"/>
              </w:rPr>
            </w:pPr>
          </w:p>
          <w:p w14:paraId="78D9CF7E" w14:textId="77777777" w:rsidR="00F805D6" w:rsidRPr="00997B81" w:rsidRDefault="00F805D6" w:rsidP="00DA2F46">
            <w:pPr>
              <w:pStyle w:val="BodyText"/>
              <w:jc w:val="both"/>
              <w:rPr>
                <w:rFonts w:cs="Arial"/>
                <w:b/>
                <w:color w:val="FFFFFF"/>
                <w:szCs w:val="22"/>
              </w:rPr>
            </w:pPr>
            <w:r w:rsidRPr="00997B81">
              <w:rPr>
                <w:rFonts w:cs="Arial"/>
                <w:b/>
                <w:color w:val="FFFFFF"/>
                <w:szCs w:val="22"/>
              </w:rPr>
              <w:t>4. Applicable Service Standards</w:t>
            </w:r>
          </w:p>
          <w:p w14:paraId="56FA16B3" w14:textId="77777777" w:rsidR="00F805D6" w:rsidRPr="00997B81" w:rsidRDefault="00F805D6" w:rsidP="00DA2F46">
            <w:pPr>
              <w:pStyle w:val="BodyText"/>
              <w:jc w:val="both"/>
              <w:rPr>
                <w:rFonts w:cs="Arial"/>
                <w:b/>
                <w:color w:val="FFFFFF"/>
                <w:szCs w:val="22"/>
              </w:rPr>
            </w:pPr>
          </w:p>
        </w:tc>
      </w:tr>
      <w:tr w:rsidR="00F805D6" w:rsidRPr="00997B81" w14:paraId="5BB27D7A" w14:textId="77777777" w:rsidTr="00DA2F46">
        <w:trPr>
          <w:trHeight w:val="1904"/>
        </w:trPr>
        <w:tc>
          <w:tcPr>
            <w:tcW w:w="9356" w:type="dxa"/>
            <w:tcBorders>
              <w:top w:val="single" w:sz="4" w:space="0" w:color="999999"/>
              <w:left w:val="single" w:sz="4" w:space="0" w:color="999999"/>
              <w:bottom w:val="single" w:sz="4" w:space="0" w:color="999999"/>
              <w:right w:val="single" w:sz="4" w:space="0" w:color="999999"/>
            </w:tcBorders>
          </w:tcPr>
          <w:p w14:paraId="328ADA64" w14:textId="77777777" w:rsidR="00F805D6" w:rsidRPr="00997B81" w:rsidRDefault="00F805D6" w:rsidP="00DA2F46">
            <w:pPr>
              <w:pStyle w:val="BodyText"/>
              <w:jc w:val="both"/>
              <w:rPr>
                <w:rFonts w:cs="Arial"/>
                <w:szCs w:val="22"/>
              </w:rPr>
            </w:pPr>
          </w:p>
          <w:p w14:paraId="13E8FCEE" w14:textId="77777777" w:rsidR="00F805D6" w:rsidRPr="00997B81" w:rsidRDefault="00F805D6" w:rsidP="00DA2F46">
            <w:pPr>
              <w:pStyle w:val="BodyText"/>
              <w:rPr>
                <w:rFonts w:cs="Arial"/>
                <w:bCs/>
                <w:szCs w:val="22"/>
              </w:rPr>
            </w:pPr>
            <w:r w:rsidRPr="00997B81">
              <w:rPr>
                <w:rFonts w:cs="Arial"/>
                <w:bCs/>
                <w:szCs w:val="22"/>
              </w:rPr>
              <w:t>The service must adhere to best practice which includes:</w:t>
            </w:r>
          </w:p>
          <w:p w14:paraId="6C3BFEB0" w14:textId="77777777" w:rsidR="00F805D6" w:rsidRPr="00997B81" w:rsidRDefault="00F805D6" w:rsidP="00DA2F46">
            <w:pPr>
              <w:pStyle w:val="BodyText"/>
              <w:rPr>
                <w:rFonts w:cs="Arial"/>
                <w:bCs/>
                <w:szCs w:val="22"/>
              </w:rPr>
            </w:pPr>
          </w:p>
          <w:p w14:paraId="54A6AA09" w14:textId="77777777" w:rsidR="00F805D6" w:rsidRPr="00997B81" w:rsidRDefault="00F805D6" w:rsidP="00DA2F46">
            <w:pPr>
              <w:pStyle w:val="BodyText"/>
              <w:rPr>
                <w:rFonts w:cs="Arial"/>
                <w:bCs/>
                <w:szCs w:val="22"/>
              </w:rPr>
            </w:pPr>
            <w:hyperlink r:id="rId10" w:history="1">
              <w:r w:rsidRPr="00997B81">
                <w:rPr>
                  <w:rFonts w:eastAsia="Times New Roman" w:cs="Arial"/>
                  <w:color w:val="0000FF"/>
                  <w:szCs w:val="22"/>
                  <w:u w:val="single"/>
                </w:rPr>
                <w:t>Diagnosis | Diagnosis | Hypertension | CKS | NICE</w:t>
              </w:r>
            </w:hyperlink>
          </w:p>
          <w:p w14:paraId="18D5FE1A" w14:textId="77777777" w:rsidR="00F805D6" w:rsidRPr="00997B81" w:rsidRDefault="00F805D6" w:rsidP="00DA2F46">
            <w:pPr>
              <w:pStyle w:val="BodyText"/>
              <w:ind w:left="720"/>
              <w:rPr>
                <w:rFonts w:cs="Arial"/>
                <w:bCs/>
                <w:szCs w:val="22"/>
              </w:rPr>
            </w:pPr>
          </w:p>
          <w:p w14:paraId="6481F553" w14:textId="77777777" w:rsidR="00F805D6" w:rsidRPr="00997B81" w:rsidRDefault="00F805D6" w:rsidP="00DA2F46">
            <w:pPr>
              <w:pStyle w:val="BodyText"/>
              <w:rPr>
                <w:rFonts w:cs="Arial"/>
                <w:bCs/>
                <w:szCs w:val="22"/>
              </w:rPr>
            </w:pPr>
            <w:r w:rsidRPr="00997B81">
              <w:rPr>
                <w:rFonts w:eastAsia="Times New Roman" w:cs="Arial"/>
                <w:szCs w:val="22"/>
              </w:rPr>
              <w:t xml:space="preserve"> </w:t>
            </w:r>
            <w:hyperlink w:history="1">
              <w:r w:rsidRPr="00997B81">
                <w:rPr>
                  <w:rStyle w:val="Hyperlink"/>
                  <w:rFonts w:eastAsia="Times New Roman" w:cs="Arial"/>
                  <w:szCs w:val="22"/>
                </w:rPr>
                <w:t>Blood pressure testing outside of general practice - Case study - GOV.UK (www.gov.uk)</w:t>
              </w:r>
            </w:hyperlink>
          </w:p>
          <w:p w14:paraId="68AD4EBC" w14:textId="77777777" w:rsidR="00F805D6" w:rsidRPr="00997B81" w:rsidRDefault="00F805D6" w:rsidP="00DA2F46">
            <w:pPr>
              <w:pStyle w:val="BodyText"/>
              <w:jc w:val="both"/>
              <w:rPr>
                <w:rFonts w:cs="Arial"/>
                <w:bCs/>
                <w:szCs w:val="22"/>
              </w:rPr>
            </w:pPr>
          </w:p>
        </w:tc>
      </w:tr>
    </w:tbl>
    <w:p w14:paraId="6984A2D6" w14:textId="77777777" w:rsidR="00F805D6" w:rsidRPr="00997B81" w:rsidRDefault="00F805D6" w:rsidP="00F805D6">
      <w:pPr>
        <w:suppressAutoHyphens w:val="0"/>
        <w:rPr>
          <w:rFonts w:cs="Arial"/>
          <w:b/>
          <w:sz w:val="22"/>
          <w:szCs w:val="22"/>
        </w:rPr>
      </w:pPr>
    </w:p>
    <w:p w14:paraId="1FF699F0" w14:textId="77777777" w:rsidR="000A7E56" w:rsidRDefault="000A7E56"/>
    <w:sectPr w:rsidR="000A7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BDC"/>
    <w:multiLevelType w:val="hybridMultilevel"/>
    <w:tmpl w:val="3BC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19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D6"/>
    <w:rsid w:val="000A7E56"/>
    <w:rsid w:val="007165CB"/>
    <w:rsid w:val="00F8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35BB"/>
  <w15:chartTrackingRefBased/>
  <w15:docId w15:val="{0233A256-691A-445C-9E6C-13956C4D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D6"/>
    <w:pPr>
      <w:suppressAutoHyphens/>
      <w:spacing w:after="0" w:line="240" w:lineRule="auto"/>
      <w:jc w:val="both"/>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05D6"/>
    <w:rPr>
      <w:rFonts w:ascii="Arial" w:hAnsi="Arial" w:cs="Times New Roman"/>
      <w:color w:val="0000FF"/>
      <w:sz w:val="24"/>
      <w:u w:val="single"/>
    </w:rPr>
  </w:style>
  <w:style w:type="paragraph" w:styleId="BodyText">
    <w:name w:val="Body Text"/>
    <w:basedOn w:val="Normal"/>
    <w:link w:val="BodyTextChar"/>
    <w:rsid w:val="00F805D6"/>
    <w:pPr>
      <w:suppressAutoHyphens w:val="0"/>
      <w:jc w:val="left"/>
    </w:pPr>
    <w:rPr>
      <w:rFonts w:eastAsia="MS ??"/>
      <w:sz w:val="22"/>
    </w:rPr>
  </w:style>
  <w:style w:type="character" w:customStyle="1" w:styleId="BodyTextChar">
    <w:name w:val="Body Text Char"/>
    <w:basedOn w:val="DefaultParagraphFont"/>
    <w:link w:val="BodyText"/>
    <w:rsid w:val="00F805D6"/>
    <w:rPr>
      <w:rFonts w:ascii="Arial" w:eastAsia="MS ??"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cks.nice.org.uk/topics/hypertension/diagnosis/diagnosi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9CC2C-18A5-4B40-8C7B-31B74BB67D45}"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3B3E7608-7CB7-41FD-ADD1-54A2686E3F8A}">
      <dgm:prSet phldrT="[Text]" custT="1"/>
      <dgm:spPr/>
      <dgm:t>
        <a:bodyPr/>
        <a:lstStyle/>
        <a:p>
          <a:r>
            <a:rPr lang="en-GB" sz="1100"/>
            <a:t>Community Pharmacy Blood Pressure undertaken</a:t>
          </a:r>
          <a:endParaRPr lang="en-US" sz="1100"/>
        </a:p>
      </dgm:t>
    </dgm:pt>
    <dgm:pt modelId="{EAF68400-C2B7-491E-83D7-4342AE2216EC}" type="parTrans" cxnId="{A9C1C207-D914-4B7B-982B-A9E039CBA1E2}">
      <dgm:prSet/>
      <dgm:spPr/>
      <dgm:t>
        <a:bodyPr/>
        <a:lstStyle/>
        <a:p>
          <a:endParaRPr lang="en-US"/>
        </a:p>
      </dgm:t>
    </dgm:pt>
    <dgm:pt modelId="{965F88F8-3341-4C1C-9C2F-CB89A2F68AB2}" type="sibTrans" cxnId="{A9C1C207-D914-4B7B-982B-A9E039CBA1E2}">
      <dgm:prSet/>
      <dgm:spPr/>
      <dgm:t>
        <a:bodyPr/>
        <a:lstStyle/>
        <a:p>
          <a:endParaRPr lang="en-US"/>
        </a:p>
      </dgm:t>
    </dgm:pt>
    <dgm:pt modelId="{0C71E8FF-14A5-4770-9DA5-F023F4FE600D}">
      <dgm:prSet phldrT="[Text]" custT="1"/>
      <dgm:spPr/>
      <dgm:t>
        <a:bodyPr/>
        <a:lstStyle/>
        <a:p>
          <a:r>
            <a:rPr lang="en-US" sz="1100"/>
            <a:t>For measurements over </a:t>
          </a:r>
          <a:r>
            <a:rPr lang="en-GB" sz="1100" b="1"/>
            <a:t>120/80 mmHg (High side of normal) </a:t>
          </a:r>
          <a:r>
            <a:rPr lang="en-GB" sz="1100"/>
            <a:t>discuss the </a:t>
          </a:r>
          <a:r>
            <a:rPr lang="en-GB" sz="1100" b="1"/>
            <a:t>benefits</a:t>
          </a:r>
          <a:r>
            <a:rPr lang="en-GB" sz="1100"/>
            <a:t> of lifestyle support through  the </a:t>
          </a:r>
          <a:r>
            <a:rPr lang="en-GB" sz="1100" b="1"/>
            <a:t>Healthy Knowsley Service </a:t>
          </a:r>
          <a:r>
            <a:rPr lang="en-GB" sz="1100"/>
            <a:t>(quitting smoking, reducing alcohol consumption, losing weight and increasing physical activity)</a:t>
          </a:r>
          <a:endParaRPr lang="en-US" sz="1100"/>
        </a:p>
      </dgm:t>
    </dgm:pt>
    <dgm:pt modelId="{839248E2-3347-4BCD-82DA-FDAF42C7FB1B}" type="parTrans" cxnId="{7C0D6716-6538-4410-8FFD-2295C40BF5F0}">
      <dgm:prSet/>
      <dgm:spPr/>
      <dgm:t>
        <a:bodyPr/>
        <a:lstStyle/>
        <a:p>
          <a:endParaRPr lang="en-US"/>
        </a:p>
      </dgm:t>
    </dgm:pt>
    <dgm:pt modelId="{987A8CDC-227F-4589-AEEC-CCA64956C2D9}" type="sibTrans" cxnId="{7C0D6716-6538-4410-8FFD-2295C40BF5F0}">
      <dgm:prSet/>
      <dgm:spPr/>
      <dgm:t>
        <a:bodyPr/>
        <a:lstStyle/>
        <a:p>
          <a:endParaRPr lang="en-US"/>
        </a:p>
      </dgm:t>
    </dgm:pt>
    <dgm:pt modelId="{A79C1A57-8F1E-463A-BBD7-AA3C6EFA4D0E}">
      <dgm:prSet phldrT="[Text]" custT="1"/>
      <dgm:spPr/>
      <dgm:t>
        <a:bodyPr/>
        <a:lstStyle/>
        <a:p>
          <a:r>
            <a:rPr lang="en-US" sz="1100"/>
            <a:t>If referral is accepted - Access Pharmoutcomes Healthy Knowsley Service template  completing all the required fields</a:t>
          </a:r>
        </a:p>
      </dgm:t>
    </dgm:pt>
    <dgm:pt modelId="{6A6B6099-7C80-4099-9F7C-9381FA5263BC}" type="parTrans" cxnId="{7BF49E6D-C35A-4DF8-82FA-EF99098AA2B4}">
      <dgm:prSet/>
      <dgm:spPr/>
      <dgm:t>
        <a:bodyPr/>
        <a:lstStyle/>
        <a:p>
          <a:endParaRPr lang="en-US"/>
        </a:p>
      </dgm:t>
    </dgm:pt>
    <dgm:pt modelId="{7310829A-96D9-4392-9CA8-76AD0305327B}" type="sibTrans" cxnId="{7BF49E6D-C35A-4DF8-82FA-EF99098AA2B4}">
      <dgm:prSet/>
      <dgm:spPr/>
      <dgm:t>
        <a:bodyPr/>
        <a:lstStyle/>
        <a:p>
          <a:endParaRPr lang="en-US"/>
        </a:p>
      </dgm:t>
    </dgm:pt>
    <dgm:pt modelId="{4D6D6742-4B14-4518-A79D-07C43329887A}">
      <dgm:prSet phldrT="[Text]" custT="1"/>
      <dgm:spPr/>
      <dgm:t>
        <a:bodyPr/>
        <a:lstStyle/>
        <a:p>
          <a:r>
            <a:rPr lang="en-US" sz="1100"/>
            <a:t>Payment made monthly for all referrals via PharmOutcomes  </a:t>
          </a:r>
        </a:p>
      </dgm:t>
    </dgm:pt>
    <dgm:pt modelId="{53139519-D721-48D3-A101-86F617CEF598}" type="parTrans" cxnId="{6A2FF250-8CC2-4938-8CD2-602B359062E3}">
      <dgm:prSet/>
      <dgm:spPr/>
      <dgm:t>
        <a:bodyPr/>
        <a:lstStyle/>
        <a:p>
          <a:endParaRPr lang="en-US"/>
        </a:p>
      </dgm:t>
    </dgm:pt>
    <dgm:pt modelId="{4C3BEA76-ED06-4A44-9729-AA3C719EDC55}" type="sibTrans" cxnId="{6A2FF250-8CC2-4938-8CD2-602B359062E3}">
      <dgm:prSet/>
      <dgm:spPr/>
      <dgm:t>
        <a:bodyPr/>
        <a:lstStyle/>
        <a:p>
          <a:endParaRPr lang="en-US"/>
        </a:p>
      </dgm:t>
    </dgm:pt>
    <dgm:pt modelId="{AB8CE77A-68DA-4200-B8C0-962A27D6BF90}" type="pres">
      <dgm:prSet presAssocID="{9D49CC2C-18A5-4B40-8C7B-31B74BB67D45}" presName="linearFlow" presStyleCnt="0">
        <dgm:presLayoutVars>
          <dgm:resizeHandles val="exact"/>
        </dgm:presLayoutVars>
      </dgm:prSet>
      <dgm:spPr/>
    </dgm:pt>
    <dgm:pt modelId="{AD56E853-4172-4CD2-810F-C308A483F8EF}" type="pres">
      <dgm:prSet presAssocID="{3B3E7608-7CB7-41FD-ADD1-54A2686E3F8A}" presName="node" presStyleLbl="node1" presStyleIdx="0" presStyleCnt="4" custScaleX="223866" custScaleY="34016" custLinFactNeighborY="12108">
        <dgm:presLayoutVars>
          <dgm:bulletEnabled val="1"/>
        </dgm:presLayoutVars>
      </dgm:prSet>
      <dgm:spPr/>
    </dgm:pt>
    <dgm:pt modelId="{2805B4B3-1E3F-4203-A46C-3411E8B0A562}" type="pres">
      <dgm:prSet presAssocID="{965F88F8-3341-4C1C-9C2F-CB89A2F68AB2}" presName="sibTrans" presStyleLbl="sibTrans2D1" presStyleIdx="0" presStyleCnt="3" custFlipHor="1" custScaleX="116695" custScaleY="76016" custLinFactNeighborX="0" custLinFactNeighborY="1982"/>
      <dgm:spPr/>
    </dgm:pt>
    <dgm:pt modelId="{5DE8CF7E-737C-4A92-B3F3-BFFB6D6090AF}" type="pres">
      <dgm:prSet presAssocID="{965F88F8-3341-4C1C-9C2F-CB89A2F68AB2}" presName="connectorText" presStyleLbl="sibTrans2D1" presStyleIdx="0" presStyleCnt="3"/>
      <dgm:spPr/>
    </dgm:pt>
    <dgm:pt modelId="{B97C72E1-B979-421A-93D9-978C2446CC06}" type="pres">
      <dgm:prSet presAssocID="{0C71E8FF-14A5-4770-9DA5-F023F4FE600D}" presName="node" presStyleLbl="node1" presStyleIdx="1" presStyleCnt="4" custScaleX="237949" custScaleY="62947" custLinFactNeighborY="-22538">
        <dgm:presLayoutVars>
          <dgm:bulletEnabled val="1"/>
        </dgm:presLayoutVars>
      </dgm:prSet>
      <dgm:spPr/>
    </dgm:pt>
    <dgm:pt modelId="{D57C9930-5A7D-494B-A31F-1DFDB7C0E077}" type="pres">
      <dgm:prSet presAssocID="{987A8CDC-227F-4589-AEEC-CCA64956C2D9}" presName="sibTrans" presStyleLbl="sibTrans2D1" presStyleIdx="1" presStyleCnt="3" custAng="94349" custScaleX="91913" custScaleY="66228"/>
      <dgm:spPr/>
    </dgm:pt>
    <dgm:pt modelId="{31C7966D-B5A6-4550-B524-820C3E83AEB5}" type="pres">
      <dgm:prSet presAssocID="{987A8CDC-227F-4589-AEEC-CCA64956C2D9}" presName="connectorText" presStyleLbl="sibTrans2D1" presStyleIdx="1" presStyleCnt="3"/>
      <dgm:spPr/>
    </dgm:pt>
    <dgm:pt modelId="{0BF95514-9AB1-4420-AC88-864E1DFF6E28}" type="pres">
      <dgm:prSet presAssocID="{A79C1A57-8F1E-463A-BBD7-AA3C6EFA4D0E}" presName="node" presStyleLbl="node1" presStyleIdx="2" presStyleCnt="4" custScaleX="239712" custScaleY="45007" custLinFactNeighborX="1565" custLinFactNeighborY="-34587">
        <dgm:presLayoutVars>
          <dgm:bulletEnabled val="1"/>
        </dgm:presLayoutVars>
      </dgm:prSet>
      <dgm:spPr/>
    </dgm:pt>
    <dgm:pt modelId="{504423E7-45EF-471E-A914-28C3A4CB142C}" type="pres">
      <dgm:prSet presAssocID="{7310829A-96D9-4392-9CA8-76AD0305327B}" presName="sibTrans" presStyleLbl="sibTrans2D1" presStyleIdx="2" presStyleCnt="3" custScaleY="68228"/>
      <dgm:spPr/>
    </dgm:pt>
    <dgm:pt modelId="{EAE314D4-6FBE-48B2-A62E-3D63087A0A94}" type="pres">
      <dgm:prSet presAssocID="{7310829A-96D9-4392-9CA8-76AD0305327B}" presName="connectorText" presStyleLbl="sibTrans2D1" presStyleIdx="2" presStyleCnt="3"/>
      <dgm:spPr/>
    </dgm:pt>
    <dgm:pt modelId="{0C231E95-0D38-4234-8B26-D46EAAEC0A9C}" type="pres">
      <dgm:prSet presAssocID="{4D6D6742-4B14-4518-A79D-07C43329887A}" presName="node" presStyleLbl="node1" presStyleIdx="3" presStyleCnt="4" custScaleX="239712" custScaleY="45007" custLinFactNeighborX="1565" custLinFactNeighborY="-34587">
        <dgm:presLayoutVars>
          <dgm:bulletEnabled val="1"/>
        </dgm:presLayoutVars>
      </dgm:prSet>
      <dgm:spPr/>
    </dgm:pt>
  </dgm:ptLst>
  <dgm:cxnLst>
    <dgm:cxn modelId="{A9C1C207-D914-4B7B-982B-A9E039CBA1E2}" srcId="{9D49CC2C-18A5-4B40-8C7B-31B74BB67D45}" destId="{3B3E7608-7CB7-41FD-ADD1-54A2686E3F8A}" srcOrd="0" destOrd="0" parTransId="{EAF68400-C2B7-491E-83D7-4342AE2216EC}" sibTransId="{965F88F8-3341-4C1C-9C2F-CB89A2F68AB2}"/>
    <dgm:cxn modelId="{B8DE9310-DB5E-4AC4-ABE8-2C4758BD14D9}" type="presOf" srcId="{3B3E7608-7CB7-41FD-ADD1-54A2686E3F8A}" destId="{AD56E853-4172-4CD2-810F-C308A483F8EF}" srcOrd="0" destOrd="0" presId="urn:microsoft.com/office/officeart/2005/8/layout/process2"/>
    <dgm:cxn modelId="{7C0D6716-6538-4410-8FFD-2295C40BF5F0}" srcId="{9D49CC2C-18A5-4B40-8C7B-31B74BB67D45}" destId="{0C71E8FF-14A5-4770-9DA5-F023F4FE600D}" srcOrd="1" destOrd="0" parTransId="{839248E2-3347-4BCD-82DA-FDAF42C7FB1B}" sibTransId="{987A8CDC-227F-4589-AEEC-CCA64956C2D9}"/>
    <dgm:cxn modelId="{78111B31-F6B4-4184-87AB-8D937778FBEB}" type="presOf" srcId="{4D6D6742-4B14-4518-A79D-07C43329887A}" destId="{0C231E95-0D38-4234-8B26-D46EAAEC0A9C}" srcOrd="0" destOrd="0" presId="urn:microsoft.com/office/officeart/2005/8/layout/process2"/>
    <dgm:cxn modelId="{859E093B-637A-4825-8189-9E0A4E865DFC}" type="presOf" srcId="{987A8CDC-227F-4589-AEEC-CCA64956C2D9}" destId="{31C7966D-B5A6-4550-B524-820C3E83AEB5}" srcOrd="1" destOrd="0" presId="urn:microsoft.com/office/officeart/2005/8/layout/process2"/>
    <dgm:cxn modelId="{6482953E-F12B-43CE-BFFE-7ADA38EDA5E3}" type="presOf" srcId="{987A8CDC-227F-4589-AEEC-CCA64956C2D9}" destId="{D57C9930-5A7D-494B-A31F-1DFDB7C0E077}" srcOrd="0" destOrd="0" presId="urn:microsoft.com/office/officeart/2005/8/layout/process2"/>
    <dgm:cxn modelId="{2E20EA61-5A3F-41CD-B337-E3C308D2FC43}" type="presOf" srcId="{7310829A-96D9-4392-9CA8-76AD0305327B}" destId="{504423E7-45EF-471E-A914-28C3A4CB142C}" srcOrd="0" destOrd="0" presId="urn:microsoft.com/office/officeart/2005/8/layout/process2"/>
    <dgm:cxn modelId="{7BF49E6D-C35A-4DF8-82FA-EF99098AA2B4}" srcId="{9D49CC2C-18A5-4B40-8C7B-31B74BB67D45}" destId="{A79C1A57-8F1E-463A-BBD7-AA3C6EFA4D0E}" srcOrd="2" destOrd="0" parTransId="{6A6B6099-7C80-4099-9F7C-9381FA5263BC}" sibTransId="{7310829A-96D9-4392-9CA8-76AD0305327B}"/>
    <dgm:cxn modelId="{6A2FF250-8CC2-4938-8CD2-602B359062E3}" srcId="{9D49CC2C-18A5-4B40-8C7B-31B74BB67D45}" destId="{4D6D6742-4B14-4518-A79D-07C43329887A}" srcOrd="3" destOrd="0" parTransId="{53139519-D721-48D3-A101-86F617CEF598}" sibTransId="{4C3BEA76-ED06-4A44-9729-AA3C719EDC55}"/>
    <dgm:cxn modelId="{9CC6558F-4FE6-456A-A330-984696ABC54A}" type="presOf" srcId="{7310829A-96D9-4392-9CA8-76AD0305327B}" destId="{EAE314D4-6FBE-48B2-A62E-3D63087A0A94}" srcOrd="1" destOrd="0" presId="urn:microsoft.com/office/officeart/2005/8/layout/process2"/>
    <dgm:cxn modelId="{3415E7AB-1486-4800-ACF4-EFCA3CFAE50D}" type="presOf" srcId="{A79C1A57-8F1E-463A-BBD7-AA3C6EFA4D0E}" destId="{0BF95514-9AB1-4420-AC88-864E1DFF6E28}" srcOrd="0" destOrd="0" presId="urn:microsoft.com/office/officeart/2005/8/layout/process2"/>
    <dgm:cxn modelId="{6CD9D5B8-D6DF-4322-A019-DA1432D8DD47}" type="presOf" srcId="{0C71E8FF-14A5-4770-9DA5-F023F4FE600D}" destId="{B97C72E1-B979-421A-93D9-978C2446CC06}" srcOrd="0" destOrd="0" presId="urn:microsoft.com/office/officeart/2005/8/layout/process2"/>
    <dgm:cxn modelId="{43C351BB-8EEE-4832-B650-BB0AAFA6861C}" type="presOf" srcId="{965F88F8-3341-4C1C-9C2F-CB89A2F68AB2}" destId="{2805B4B3-1E3F-4203-A46C-3411E8B0A562}" srcOrd="0" destOrd="0" presId="urn:microsoft.com/office/officeart/2005/8/layout/process2"/>
    <dgm:cxn modelId="{4EFEA3C1-212B-4254-905D-86A991379162}" type="presOf" srcId="{965F88F8-3341-4C1C-9C2F-CB89A2F68AB2}" destId="{5DE8CF7E-737C-4A92-B3F3-BFFB6D6090AF}" srcOrd="1" destOrd="0" presId="urn:microsoft.com/office/officeart/2005/8/layout/process2"/>
    <dgm:cxn modelId="{701EB7DA-B7FA-48D4-83E2-01F7BDCD9B38}" type="presOf" srcId="{9D49CC2C-18A5-4B40-8C7B-31B74BB67D45}" destId="{AB8CE77A-68DA-4200-B8C0-962A27D6BF90}" srcOrd="0" destOrd="0" presId="urn:microsoft.com/office/officeart/2005/8/layout/process2"/>
    <dgm:cxn modelId="{9366C5B5-3259-4424-98E7-F15FFD393149}" type="presParOf" srcId="{AB8CE77A-68DA-4200-B8C0-962A27D6BF90}" destId="{AD56E853-4172-4CD2-810F-C308A483F8EF}" srcOrd="0" destOrd="0" presId="urn:microsoft.com/office/officeart/2005/8/layout/process2"/>
    <dgm:cxn modelId="{93DA5F90-4352-451F-959E-7BFF17F35B25}" type="presParOf" srcId="{AB8CE77A-68DA-4200-B8C0-962A27D6BF90}" destId="{2805B4B3-1E3F-4203-A46C-3411E8B0A562}" srcOrd="1" destOrd="0" presId="urn:microsoft.com/office/officeart/2005/8/layout/process2"/>
    <dgm:cxn modelId="{5824B5E1-2D5C-401F-ABB9-48CE1A65477A}" type="presParOf" srcId="{2805B4B3-1E3F-4203-A46C-3411E8B0A562}" destId="{5DE8CF7E-737C-4A92-B3F3-BFFB6D6090AF}" srcOrd="0" destOrd="0" presId="urn:microsoft.com/office/officeart/2005/8/layout/process2"/>
    <dgm:cxn modelId="{14EB443F-6C26-41A0-8721-B522F5D1B334}" type="presParOf" srcId="{AB8CE77A-68DA-4200-B8C0-962A27D6BF90}" destId="{B97C72E1-B979-421A-93D9-978C2446CC06}" srcOrd="2" destOrd="0" presId="urn:microsoft.com/office/officeart/2005/8/layout/process2"/>
    <dgm:cxn modelId="{79AA5ED9-4889-49BF-A7D9-F0B77E14AA7D}" type="presParOf" srcId="{AB8CE77A-68DA-4200-B8C0-962A27D6BF90}" destId="{D57C9930-5A7D-494B-A31F-1DFDB7C0E077}" srcOrd="3" destOrd="0" presId="urn:microsoft.com/office/officeart/2005/8/layout/process2"/>
    <dgm:cxn modelId="{0E630905-C396-4DB5-8F0C-3E315A455866}" type="presParOf" srcId="{D57C9930-5A7D-494B-A31F-1DFDB7C0E077}" destId="{31C7966D-B5A6-4550-B524-820C3E83AEB5}" srcOrd="0" destOrd="0" presId="urn:microsoft.com/office/officeart/2005/8/layout/process2"/>
    <dgm:cxn modelId="{2A6C4800-1589-45D4-B461-A99D264E9CAC}" type="presParOf" srcId="{AB8CE77A-68DA-4200-B8C0-962A27D6BF90}" destId="{0BF95514-9AB1-4420-AC88-864E1DFF6E28}" srcOrd="4" destOrd="0" presId="urn:microsoft.com/office/officeart/2005/8/layout/process2"/>
    <dgm:cxn modelId="{F8F01AC1-2898-4AAF-B5CC-30C81937156A}" type="presParOf" srcId="{AB8CE77A-68DA-4200-B8C0-962A27D6BF90}" destId="{504423E7-45EF-471E-A914-28C3A4CB142C}" srcOrd="5" destOrd="0" presId="urn:microsoft.com/office/officeart/2005/8/layout/process2"/>
    <dgm:cxn modelId="{C38809F0-279C-4AC5-B209-EB436D75A8B8}" type="presParOf" srcId="{504423E7-45EF-471E-A914-28C3A4CB142C}" destId="{EAE314D4-6FBE-48B2-A62E-3D63087A0A94}" srcOrd="0" destOrd="0" presId="urn:microsoft.com/office/officeart/2005/8/layout/process2"/>
    <dgm:cxn modelId="{5F21A5BC-789A-4B0D-88EC-1A97241F393A}" type="presParOf" srcId="{AB8CE77A-68DA-4200-B8C0-962A27D6BF90}" destId="{0C231E95-0D38-4234-8B26-D46EAAEC0A9C}" srcOrd="6"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56E853-4172-4CD2-810F-C308A483F8EF}">
      <dsp:nvSpPr>
        <dsp:cNvPr id="0" name=""/>
        <dsp:cNvSpPr/>
      </dsp:nvSpPr>
      <dsp:spPr>
        <a:xfrm>
          <a:off x="0" y="80324"/>
          <a:ext cx="5146040" cy="3276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Community Pharmacy Blood Pressure undertaken</a:t>
          </a:r>
          <a:endParaRPr lang="en-US" sz="1100" kern="1200"/>
        </a:p>
      </dsp:txBody>
      <dsp:txXfrm>
        <a:off x="9597" y="89921"/>
        <a:ext cx="5126846" cy="308460"/>
      </dsp:txXfrm>
    </dsp:sp>
    <dsp:sp modelId="{2805B4B3-1E3F-4203-A46C-3411E8B0A562}">
      <dsp:nvSpPr>
        <dsp:cNvPr id="0" name=""/>
        <dsp:cNvSpPr/>
      </dsp:nvSpPr>
      <dsp:spPr>
        <a:xfrm rot="16200000" flipH="1">
          <a:off x="2467554" y="372324"/>
          <a:ext cx="210931" cy="3294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2474172" y="431606"/>
        <a:ext cx="197697" cy="147652"/>
      </dsp:txXfrm>
    </dsp:sp>
    <dsp:sp modelId="{B97C72E1-B979-421A-93D9-978C2446CC06}">
      <dsp:nvSpPr>
        <dsp:cNvPr id="0" name=""/>
        <dsp:cNvSpPr/>
      </dsp:nvSpPr>
      <dsp:spPr>
        <a:xfrm>
          <a:off x="-161863" y="648984"/>
          <a:ext cx="5469767" cy="606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For measurements over </a:t>
          </a:r>
          <a:r>
            <a:rPr lang="en-GB" sz="1100" b="1" kern="1200"/>
            <a:t>120/80 mmHg (High side of normal) </a:t>
          </a:r>
          <a:r>
            <a:rPr lang="en-GB" sz="1100" kern="1200"/>
            <a:t>discuss the </a:t>
          </a:r>
          <a:r>
            <a:rPr lang="en-GB" sz="1100" b="1" kern="1200"/>
            <a:t>benefits</a:t>
          </a:r>
          <a:r>
            <a:rPr lang="en-GB" sz="1100" kern="1200"/>
            <a:t> of lifestyle support through  the </a:t>
          </a:r>
          <a:r>
            <a:rPr lang="en-GB" sz="1100" b="1" kern="1200"/>
            <a:t>Healthy Knowsley Service </a:t>
          </a:r>
          <a:r>
            <a:rPr lang="en-GB" sz="1100" kern="1200"/>
            <a:t>(quitting smoking, reducing alcohol consumption, losing weight and increasing physical activity)</a:t>
          </a:r>
          <a:endParaRPr lang="en-US" sz="1100" kern="1200"/>
        </a:p>
      </dsp:txBody>
      <dsp:txXfrm>
        <a:off x="-144104" y="666743"/>
        <a:ext cx="5434249" cy="570809"/>
      </dsp:txXfrm>
    </dsp:sp>
    <dsp:sp modelId="{D57C9930-5A7D-494B-A31F-1DFDB7C0E077}">
      <dsp:nvSpPr>
        <dsp:cNvPr id="0" name=""/>
        <dsp:cNvSpPr/>
      </dsp:nvSpPr>
      <dsp:spPr>
        <a:xfrm rot="5494349">
          <a:off x="2434678" y="1312462"/>
          <a:ext cx="276682" cy="2870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2488037" y="1317671"/>
        <a:ext cx="172241" cy="193677"/>
      </dsp:txXfrm>
    </dsp:sp>
    <dsp:sp modelId="{0BF95514-9AB1-4420-AC88-864E1DFF6E28}">
      <dsp:nvSpPr>
        <dsp:cNvPr id="0" name=""/>
        <dsp:cNvSpPr/>
      </dsp:nvSpPr>
      <dsp:spPr>
        <a:xfrm>
          <a:off x="-182127" y="1656681"/>
          <a:ext cx="5510294" cy="4335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If referral is accepted - Access Pharmoutcomes Healthy Knowsley Service template  completing all the required fields</a:t>
          </a:r>
        </a:p>
      </dsp:txBody>
      <dsp:txXfrm>
        <a:off x="-169430" y="1669378"/>
        <a:ext cx="5484900" cy="408129"/>
      </dsp:txXfrm>
    </dsp:sp>
    <dsp:sp modelId="{504423E7-45EF-471E-A914-28C3A4CB142C}">
      <dsp:nvSpPr>
        <dsp:cNvPr id="0" name=""/>
        <dsp:cNvSpPr/>
      </dsp:nvSpPr>
      <dsp:spPr>
        <a:xfrm rot="5400000">
          <a:off x="2392413" y="2183144"/>
          <a:ext cx="361213" cy="2957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5400000">
        <a:off x="2484299" y="2150407"/>
        <a:ext cx="177442" cy="272492"/>
      </dsp:txXfrm>
    </dsp:sp>
    <dsp:sp modelId="{0C231E95-0D38-4234-8B26-D46EAAEC0A9C}">
      <dsp:nvSpPr>
        <dsp:cNvPr id="0" name=""/>
        <dsp:cNvSpPr/>
      </dsp:nvSpPr>
      <dsp:spPr>
        <a:xfrm>
          <a:off x="-182127" y="2571822"/>
          <a:ext cx="5510294" cy="4335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Payment made monthly for all referrals via PharmOutcomes  </a:t>
          </a:r>
        </a:p>
      </dsp:txBody>
      <dsp:txXfrm>
        <a:off x="-169430" y="2584519"/>
        <a:ext cx="5484900" cy="4081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Murphy</dc:creator>
  <cp:keywords/>
  <dc:description/>
  <cp:lastModifiedBy>Helen Murphy</cp:lastModifiedBy>
  <cp:revision>1</cp:revision>
  <dcterms:created xsi:type="dcterms:W3CDTF">2023-10-11T15:30:00Z</dcterms:created>
  <dcterms:modified xsi:type="dcterms:W3CDTF">2023-10-11T15:31:00Z</dcterms:modified>
</cp:coreProperties>
</file>