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11E89" w14:textId="77777777" w:rsidR="009A7842" w:rsidRDefault="009A7842" w:rsidP="008803DD">
      <w:pPr>
        <w:shd w:val="clear" w:color="auto" w:fill="FFFFFF" w:themeFill="background1"/>
        <w:spacing w:after="0"/>
        <w:jc w:val="both"/>
        <w:rPr>
          <w:rFonts w:ascii="Arial" w:hAnsi="Arial" w:cs="Arial"/>
          <w:sz w:val="20"/>
        </w:rPr>
      </w:pPr>
    </w:p>
    <w:p w14:paraId="4D58D975" w14:textId="77777777" w:rsidR="0065421C" w:rsidRDefault="0065421C" w:rsidP="008803DD">
      <w:pPr>
        <w:spacing w:after="0"/>
        <w:rPr>
          <w:rFonts w:ascii="Arial" w:hAnsi="Arial" w:cs="Arial"/>
          <w:sz w:val="20"/>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5444"/>
      </w:tblGrid>
      <w:tr w:rsidR="0065421C" w:rsidRPr="00DF4267" w14:paraId="6E561612" w14:textId="77777777" w:rsidTr="00AA4CEE">
        <w:tc>
          <w:tcPr>
            <w:tcW w:w="2970" w:type="dxa"/>
            <w:shd w:val="clear" w:color="auto" w:fill="595959"/>
          </w:tcPr>
          <w:p w14:paraId="649B3278" w14:textId="77777777" w:rsidR="0065421C" w:rsidRPr="00B5552C" w:rsidRDefault="0065421C" w:rsidP="00AA4CEE">
            <w:pPr>
              <w:spacing w:after="0" w:line="360" w:lineRule="auto"/>
              <w:rPr>
                <w:rFonts w:ascii="Arial" w:hAnsi="Arial" w:cs="Arial"/>
                <w:b/>
                <w:color w:val="F79646"/>
              </w:rPr>
            </w:pPr>
            <w:r w:rsidRPr="00B5552C">
              <w:rPr>
                <w:rFonts w:ascii="Arial" w:hAnsi="Arial" w:cs="Arial"/>
                <w:b/>
                <w:color w:val="F79646"/>
              </w:rPr>
              <w:t>Service Specification No.</w:t>
            </w:r>
          </w:p>
        </w:tc>
        <w:tc>
          <w:tcPr>
            <w:tcW w:w="5444" w:type="dxa"/>
          </w:tcPr>
          <w:p w14:paraId="30EC250C" w14:textId="77777777" w:rsidR="0065421C" w:rsidRPr="00030034" w:rsidRDefault="0065421C" w:rsidP="00AA4CEE">
            <w:pPr>
              <w:spacing w:after="0"/>
              <w:rPr>
                <w:rFonts w:ascii="Arial" w:hAnsi="Arial" w:cs="Arial"/>
                <w:sz w:val="20"/>
              </w:rPr>
            </w:pPr>
            <w:r>
              <w:rPr>
                <w:rFonts w:ascii="Arial" w:hAnsi="Arial" w:cs="Arial"/>
                <w:sz w:val="20"/>
              </w:rPr>
              <w:t>CP2</w:t>
            </w:r>
          </w:p>
        </w:tc>
      </w:tr>
      <w:tr w:rsidR="0065421C" w:rsidRPr="00DF4267" w14:paraId="118EB481" w14:textId="77777777" w:rsidTr="00AA4CEE">
        <w:tc>
          <w:tcPr>
            <w:tcW w:w="2970" w:type="dxa"/>
            <w:shd w:val="clear" w:color="auto" w:fill="595959"/>
          </w:tcPr>
          <w:p w14:paraId="7799B323" w14:textId="77777777" w:rsidR="0065421C" w:rsidRPr="00B5552C" w:rsidRDefault="0065421C" w:rsidP="00AA4CEE">
            <w:pPr>
              <w:spacing w:after="0" w:line="360" w:lineRule="auto"/>
              <w:rPr>
                <w:rFonts w:ascii="Arial" w:hAnsi="Arial" w:cs="Arial"/>
                <w:b/>
                <w:color w:val="F79646"/>
              </w:rPr>
            </w:pPr>
            <w:r w:rsidRPr="00B5552C">
              <w:rPr>
                <w:rFonts w:ascii="Arial" w:hAnsi="Arial" w:cs="Arial"/>
                <w:b/>
                <w:color w:val="F79646"/>
              </w:rPr>
              <w:t>Service</w:t>
            </w:r>
          </w:p>
        </w:tc>
        <w:tc>
          <w:tcPr>
            <w:tcW w:w="5444" w:type="dxa"/>
          </w:tcPr>
          <w:p w14:paraId="5E7A36A1" w14:textId="77777777" w:rsidR="0065421C" w:rsidRPr="00030034" w:rsidRDefault="0065421C" w:rsidP="00AA4CEE">
            <w:pPr>
              <w:spacing w:after="0"/>
              <w:rPr>
                <w:rFonts w:ascii="Arial" w:hAnsi="Arial" w:cs="Arial"/>
                <w:sz w:val="20"/>
              </w:rPr>
            </w:pPr>
            <w:r>
              <w:rPr>
                <w:rFonts w:ascii="Arial" w:hAnsi="Arial" w:cs="Arial"/>
                <w:sz w:val="20"/>
              </w:rPr>
              <w:t>On Demand Availability of Palliative Care Medicines</w:t>
            </w:r>
          </w:p>
        </w:tc>
      </w:tr>
      <w:tr w:rsidR="0065421C" w:rsidRPr="00DF4267" w14:paraId="6A49A17B" w14:textId="77777777" w:rsidTr="00AA4CEE">
        <w:tc>
          <w:tcPr>
            <w:tcW w:w="2970" w:type="dxa"/>
            <w:shd w:val="clear" w:color="auto" w:fill="595959"/>
          </w:tcPr>
          <w:p w14:paraId="2AAF6F90" w14:textId="77777777" w:rsidR="0065421C" w:rsidRPr="00B5552C" w:rsidRDefault="0065421C" w:rsidP="00AA4CEE">
            <w:pPr>
              <w:spacing w:after="0" w:line="360" w:lineRule="auto"/>
              <w:rPr>
                <w:rFonts w:ascii="Arial" w:hAnsi="Arial" w:cs="Arial"/>
                <w:b/>
                <w:color w:val="F79646"/>
              </w:rPr>
            </w:pPr>
            <w:r w:rsidRPr="00B5552C">
              <w:rPr>
                <w:rFonts w:ascii="Arial" w:hAnsi="Arial" w:cs="Arial"/>
                <w:b/>
                <w:color w:val="F79646"/>
              </w:rPr>
              <w:t>Commissioner Lead</w:t>
            </w:r>
          </w:p>
        </w:tc>
        <w:tc>
          <w:tcPr>
            <w:tcW w:w="5444" w:type="dxa"/>
          </w:tcPr>
          <w:p w14:paraId="2757B1B8" w14:textId="77777777" w:rsidR="0065421C" w:rsidRPr="00030034" w:rsidRDefault="0065421C" w:rsidP="00AA4CEE">
            <w:pPr>
              <w:spacing w:after="0"/>
              <w:rPr>
                <w:rFonts w:ascii="Arial" w:hAnsi="Arial" w:cs="Arial"/>
                <w:sz w:val="20"/>
              </w:rPr>
            </w:pPr>
            <w:r>
              <w:rPr>
                <w:rFonts w:ascii="Arial" w:hAnsi="Arial" w:cs="Arial"/>
                <w:sz w:val="20"/>
              </w:rPr>
              <w:t>Head of Medicines Management (Nicola Cartwright)</w:t>
            </w:r>
          </w:p>
        </w:tc>
      </w:tr>
      <w:tr w:rsidR="0065421C" w:rsidRPr="00DF4267" w14:paraId="18A26287" w14:textId="77777777" w:rsidTr="00AA4CEE">
        <w:tc>
          <w:tcPr>
            <w:tcW w:w="2970" w:type="dxa"/>
            <w:shd w:val="clear" w:color="auto" w:fill="595959"/>
          </w:tcPr>
          <w:p w14:paraId="25C4CA05" w14:textId="77777777" w:rsidR="0065421C" w:rsidRPr="00B5552C" w:rsidRDefault="0065421C" w:rsidP="00AA4CEE">
            <w:pPr>
              <w:spacing w:after="0" w:line="360" w:lineRule="auto"/>
              <w:rPr>
                <w:rFonts w:ascii="Arial" w:hAnsi="Arial" w:cs="Arial"/>
                <w:b/>
                <w:color w:val="F79646"/>
              </w:rPr>
            </w:pPr>
            <w:r w:rsidRPr="00B5552C">
              <w:rPr>
                <w:rFonts w:ascii="Arial" w:hAnsi="Arial" w:cs="Arial"/>
                <w:b/>
                <w:color w:val="F79646"/>
              </w:rPr>
              <w:t>Provider Lead</w:t>
            </w:r>
          </w:p>
        </w:tc>
        <w:tc>
          <w:tcPr>
            <w:tcW w:w="5444" w:type="dxa"/>
          </w:tcPr>
          <w:p w14:paraId="0986EF98" w14:textId="77777777" w:rsidR="0065421C" w:rsidRPr="00030034" w:rsidRDefault="0065421C" w:rsidP="00AA4CEE">
            <w:pPr>
              <w:spacing w:after="0"/>
              <w:rPr>
                <w:rFonts w:ascii="Arial" w:hAnsi="Arial" w:cs="Arial"/>
                <w:sz w:val="20"/>
              </w:rPr>
            </w:pPr>
            <w:r>
              <w:rPr>
                <w:rFonts w:ascii="Arial" w:hAnsi="Arial" w:cs="Arial"/>
                <w:sz w:val="20"/>
              </w:rPr>
              <w:t>TBC</w:t>
            </w:r>
          </w:p>
        </w:tc>
      </w:tr>
      <w:tr w:rsidR="0065421C" w:rsidRPr="00DF4267" w14:paraId="14A0E873" w14:textId="77777777" w:rsidTr="00AA4CEE">
        <w:tc>
          <w:tcPr>
            <w:tcW w:w="2970" w:type="dxa"/>
            <w:shd w:val="clear" w:color="auto" w:fill="595959"/>
          </w:tcPr>
          <w:p w14:paraId="28AA9363" w14:textId="77777777" w:rsidR="0065421C" w:rsidRPr="00B5552C" w:rsidRDefault="0065421C" w:rsidP="00AA4CEE">
            <w:pPr>
              <w:spacing w:after="0" w:line="360" w:lineRule="auto"/>
              <w:rPr>
                <w:rFonts w:ascii="Arial" w:hAnsi="Arial" w:cs="Arial"/>
                <w:b/>
                <w:color w:val="F79646"/>
              </w:rPr>
            </w:pPr>
            <w:r w:rsidRPr="00B5552C">
              <w:rPr>
                <w:rFonts w:ascii="Arial" w:hAnsi="Arial" w:cs="Arial"/>
                <w:b/>
                <w:color w:val="F79646"/>
              </w:rPr>
              <w:t>Period</w:t>
            </w:r>
          </w:p>
        </w:tc>
        <w:tc>
          <w:tcPr>
            <w:tcW w:w="5444" w:type="dxa"/>
          </w:tcPr>
          <w:p w14:paraId="32E4F53D" w14:textId="77777777" w:rsidR="0065421C" w:rsidRPr="00030034" w:rsidRDefault="0065421C" w:rsidP="00AA4CEE">
            <w:pPr>
              <w:spacing w:after="0"/>
              <w:rPr>
                <w:rFonts w:ascii="Arial" w:hAnsi="Arial" w:cs="Arial"/>
                <w:sz w:val="20"/>
              </w:rPr>
            </w:pPr>
            <w:r>
              <w:rPr>
                <w:rFonts w:ascii="Arial" w:hAnsi="Arial" w:cs="Arial"/>
                <w:sz w:val="20"/>
              </w:rPr>
              <w:t>1</w:t>
            </w:r>
            <w:r w:rsidRPr="00F21931">
              <w:rPr>
                <w:rFonts w:ascii="Arial" w:hAnsi="Arial" w:cs="Arial"/>
                <w:sz w:val="20"/>
                <w:vertAlign w:val="superscript"/>
              </w:rPr>
              <w:t>st</w:t>
            </w:r>
            <w:r w:rsidR="00DD506B">
              <w:rPr>
                <w:rFonts w:ascii="Arial" w:hAnsi="Arial" w:cs="Arial"/>
                <w:sz w:val="20"/>
              </w:rPr>
              <w:t xml:space="preserve"> April 2018</w:t>
            </w:r>
            <w:r>
              <w:rPr>
                <w:rFonts w:ascii="Arial" w:hAnsi="Arial" w:cs="Arial"/>
                <w:sz w:val="20"/>
              </w:rPr>
              <w:t xml:space="preserve"> -31</w:t>
            </w:r>
            <w:r w:rsidRPr="00E52A59">
              <w:rPr>
                <w:rFonts w:ascii="Arial" w:hAnsi="Arial" w:cs="Arial"/>
                <w:sz w:val="20"/>
                <w:vertAlign w:val="superscript"/>
              </w:rPr>
              <w:t>st</w:t>
            </w:r>
            <w:r w:rsidR="00DD506B">
              <w:rPr>
                <w:rFonts w:ascii="Arial" w:hAnsi="Arial" w:cs="Arial"/>
                <w:sz w:val="20"/>
              </w:rPr>
              <w:t xml:space="preserve"> March 2020</w:t>
            </w:r>
          </w:p>
        </w:tc>
      </w:tr>
      <w:tr w:rsidR="0065421C" w:rsidRPr="00DF4267" w14:paraId="50CFE991" w14:textId="77777777" w:rsidTr="00AA4CEE">
        <w:tc>
          <w:tcPr>
            <w:tcW w:w="2970" w:type="dxa"/>
            <w:shd w:val="clear" w:color="auto" w:fill="595959"/>
          </w:tcPr>
          <w:p w14:paraId="7C023B98" w14:textId="77777777" w:rsidR="0065421C" w:rsidRPr="00B5552C" w:rsidRDefault="0065421C" w:rsidP="00AA4CEE">
            <w:pPr>
              <w:spacing w:after="0" w:line="360" w:lineRule="auto"/>
              <w:rPr>
                <w:rFonts w:ascii="Arial" w:hAnsi="Arial" w:cs="Arial"/>
                <w:b/>
                <w:color w:val="F79646"/>
              </w:rPr>
            </w:pPr>
            <w:r w:rsidRPr="00B5552C">
              <w:rPr>
                <w:rFonts w:ascii="Arial" w:hAnsi="Arial" w:cs="Arial"/>
                <w:b/>
                <w:color w:val="F79646"/>
              </w:rPr>
              <w:t>Date of Review</w:t>
            </w:r>
          </w:p>
        </w:tc>
        <w:tc>
          <w:tcPr>
            <w:tcW w:w="5444" w:type="dxa"/>
          </w:tcPr>
          <w:p w14:paraId="7CB542C8" w14:textId="77777777" w:rsidR="0065421C" w:rsidRPr="00030034" w:rsidRDefault="0065421C" w:rsidP="00AA4CEE">
            <w:pPr>
              <w:spacing w:after="0"/>
              <w:rPr>
                <w:rFonts w:ascii="Arial" w:hAnsi="Arial" w:cs="Arial"/>
                <w:sz w:val="20"/>
              </w:rPr>
            </w:pPr>
            <w:r>
              <w:rPr>
                <w:rFonts w:ascii="Arial" w:hAnsi="Arial" w:cs="Arial"/>
                <w:sz w:val="20"/>
              </w:rPr>
              <w:t>1</w:t>
            </w:r>
            <w:r w:rsidRPr="004B7BCC">
              <w:rPr>
                <w:rFonts w:ascii="Arial" w:hAnsi="Arial" w:cs="Arial"/>
                <w:sz w:val="20"/>
                <w:vertAlign w:val="superscript"/>
              </w:rPr>
              <w:t>st</w:t>
            </w:r>
            <w:r w:rsidR="00DD506B">
              <w:rPr>
                <w:rFonts w:ascii="Arial" w:hAnsi="Arial" w:cs="Arial"/>
                <w:sz w:val="20"/>
              </w:rPr>
              <w:t xml:space="preserve"> September 2019</w:t>
            </w:r>
          </w:p>
        </w:tc>
      </w:tr>
    </w:tbl>
    <w:p w14:paraId="534043B4" w14:textId="77777777" w:rsidR="0065421C" w:rsidRDefault="0065421C" w:rsidP="008803DD">
      <w:pPr>
        <w:spacing w:after="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4"/>
      </w:tblGrid>
      <w:tr w:rsidR="0065421C" w:rsidRPr="00B5552C" w14:paraId="309C6AA5" w14:textId="77777777" w:rsidTr="00AA4CEE">
        <w:tc>
          <w:tcPr>
            <w:tcW w:w="8414" w:type="dxa"/>
            <w:shd w:val="clear" w:color="auto" w:fill="595959"/>
          </w:tcPr>
          <w:p w14:paraId="63723D09" w14:textId="77777777" w:rsidR="0065421C" w:rsidRPr="00B5552C" w:rsidRDefault="0065421C" w:rsidP="00AA4CEE">
            <w:pPr>
              <w:spacing w:after="0" w:line="276" w:lineRule="auto"/>
              <w:rPr>
                <w:rFonts w:ascii="Arial" w:hAnsi="Arial" w:cs="Arial"/>
                <w:b/>
                <w:color w:val="F79646"/>
              </w:rPr>
            </w:pPr>
            <w:r w:rsidRPr="00B5552C">
              <w:rPr>
                <w:rFonts w:ascii="Arial" w:hAnsi="Arial" w:cs="Arial"/>
                <w:b/>
                <w:color w:val="F79646"/>
              </w:rPr>
              <w:t>1.</w:t>
            </w:r>
            <w:r w:rsidRPr="00B5552C">
              <w:rPr>
                <w:rFonts w:ascii="Arial" w:hAnsi="Arial" w:cs="Arial"/>
                <w:b/>
                <w:color w:val="F79646"/>
              </w:rPr>
              <w:tab/>
              <w:t>Population Needs</w:t>
            </w:r>
          </w:p>
        </w:tc>
      </w:tr>
      <w:tr w:rsidR="0065421C" w:rsidRPr="00512021" w14:paraId="6980B538" w14:textId="77777777" w:rsidTr="00AA4CEE">
        <w:tc>
          <w:tcPr>
            <w:tcW w:w="8414" w:type="dxa"/>
            <w:shd w:val="clear" w:color="auto" w:fill="auto"/>
          </w:tcPr>
          <w:p w14:paraId="7BB416C0" w14:textId="77777777" w:rsidR="0065421C" w:rsidRPr="00390A2D" w:rsidRDefault="0065421C" w:rsidP="00AA4CEE">
            <w:pPr>
              <w:spacing w:after="0"/>
              <w:ind w:left="360"/>
              <w:rPr>
                <w:rFonts w:ascii="Arial" w:hAnsi="Arial" w:cs="Arial"/>
                <w:color w:val="009966"/>
                <w:sz w:val="20"/>
              </w:rPr>
            </w:pPr>
            <w:r w:rsidRPr="00390A2D">
              <w:rPr>
                <w:rFonts w:ascii="Arial" w:hAnsi="Arial" w:cs="Arial"/>
                <w:color w:val="009966"/>
                <w:sz w:val="20"/>
              </w:rPr>
              <w:tab/>
            </w:r>
          </w:p>
          <w:p w14:paraId="46D9C9A6" w14:textId="77777777" w:rsidR="0065421C" w:rsidRPr="00F47C01" w:rsidRDefault="0065421C" w:rsidP="00AA4CEE">
            <w:pPr>
              <w:numPr>
                <w:ilvl w:val="1"/>
                <w:numId w:val="42"/>
              </w:numPr>
              <w:spacing w:after="0"/>
              <w:rPr>
                <w:rFonts w:ascii="Arial" w:hAnsi="Arial" w:cs="Arial"/>
                <w:b/>
                <w:color w:val="009966"/>
                <w:sz w:val="20"/>
              </w:rPr>
            </w:pPr>
            <w:r w:rsidRPr="00F47C01">
              <w:rPr>
                <w:rFonts w:ascii="Arial" w:hAnsi="Arial" w:cs="Arial"/>
                <w:b/>
                <w:color w:val="009966"/>
                <w:sz w:val="20"/>
              </w:rPr>
              <w:tab/>
              <w:t>National/local context and evidence base</w:t>
            </w:r>
          </w:p>
          <w:p w14:paraId="2C19AF8F" w14:textId="77777777" w:rsidR="0065421C" w:rsidRPr="00390A2D" w:rsidRDefault="0065421C" w:rsidP="00AA4CEE">
            <w:pPr>
              <w:spacing w:after="0"/>
              <w:rPr>
                <w:rFonts w:ascii="Arial" w:hAnsi="Arial" w:cs="Arial"/>
                <w:color w:val="009966"/>
                <w:sz w:val="20"/>
              </w:rPr>
            </w:pPr>
          </w:p>
          <w:p w14:paraId="7070DB03" w14:textId="77777777" w:rsidR="0065421C" w:rsidRPr="00390A2D" w:rsidRDefault="0065421C" w:rsidP="00AA4CEE">
            <w:pPr>
              <w:spacing w:after="0"/>
              <w:rPr>
                <w:rFonts w:ascii="Arial" w:hAnsi="Arial" w:cs="Arial"/>
                <w:color w:val="009966"/>
                <w:sz w:val="20"/>
              </w:rPr>
            </w:pPr>
          </w:p>
          <w:p w14:paraId="348EE8AB" w14:textId="77777777" w:rsidR="0065421C" w:rsidRPr="00390A2D" w:rsidRDefault="0065421C" w:rsidP="00AA4CEE">
            <w:pPr>
              <w:spacing w:after="0"/>
              <w:rPr>
                <w:rFonts w:ascii="Arial" w:hAnsi="Arial" w:cs="Arial"/>
                <w:color w:val="009966"/>
                <w:sz w:val="20"/>
              </w:rPr>
            </w:pPr>
          </w:p>
        </w:tc>
      </w:tr>
      <w:tr w:rsidR="0065421C" w:rsidRPr="00B5552C" w14:paraId="04E7239D" w14:textId="77777777" w:rsidTr="00AA4CEE">
        <w:tc>
          <w:tcPr>
            <w:tcW w:w="8414" w:type="dxa"/>
            <w:shd w:val="clear" w:color="auto" w:fill="595959"/>
          </w:tcPr>
          <w:p w14:paraId="09B52207" w14:textId="77777777" w:rsidR="0065421C" w:rsidRPr="00B5552C" w:rsidRDefault="0065421C" w:rsidP="00AA4CEE">
            <w:pPr>
              <w:spacing w:after="0" w:line="276" w:lineRule="auto"/>
              <w:rPr>
                <w:rFonts w:ascii="Arial" w:hAnsi="Arial" w:cs="Arial"/>
                <w:b/>
                <w:color w:val="F79646"/>
              </w:rPr>
            </w:pPr>
            <w:r w:rsidRPr="00B5552C">
              <w:rPr>
                <w:rFonts w:ascii="Arial" w:hAnsi="Arial" w:cs="Arial"/>
                <w:b/>
                <w:color w:val="F79646"/>
              </w:rPr>
              <w:t>2.</w:t>
            </w:r>
            <w:r w:rsidRPr="00B5552C">
              <w:rPr>
                <w:rFonts w:ascii="Arial" w:hAnsi="Arial" w:cs="Arial"/>
                <w:b/>
                <w:color w:val="F79646"/>
              </w:rPr>
              <w:tab/>
              <w:t>Outcomes</w:t>
            </w:r>
          </w:p>
        </w:tc>
      </w:tr>
      <w:tr w:rsidR="0065421C" w:rsidRPr="00DF4267" w14:paraId="208703F0" w14:textId="77777777" w:rsidTr="00AA4CEE">
        <w:tc>
          <w:tcPr>
            <w:tcW w:w="8414" w:type="dxa"/>
            <w:shd w:val="clear" w:color="auto" w:fill="FFFFFF" w:themeFill="background1"/>
          </w:tcPr>
          <w:p w14:paraId="324DF2F0" w14:textId="77777777" w:rsidR="0065421C" w:rsidRDefault="0065421C" w:rsidP="00AA4CEE">
            <w:pPr>
              <w:spacing w:after="0" w:line="276" w:lineRule="auto"/>
              <w:rPr>
                <w:rFonts w:ascii="Arial" w:hAnsi="Arial" w:cs="Arial"/>
                <w:b/>
                <w:sz w:val="20"/>
              </w:rPr>
            </w:pPr>
          </w:p>
          <w:p w14:paraId="736D9DCD" w14:textId="77777777" w:rsidR="0065421C" w:rsidRPr="00BE4DF3" w:rsidRDefault="0065421C" w:rsidP="00AA4CEE">
            <w:pPr>
              <w:spacing w:after="0" w:line="276" w:lineRule="auto"/>
              <w:rPr>
                <w:rFonts w:ascii="Arial" w:hAnsi="Arial" w:cs="Arial"/>
                <w:b/>
                <w:color w:val="00B050"/>
                <w:sz w:val="20"/>
              </w:rPr>
            </w:pPr>
            <w:r w:rsidRPr="00BE4DF3">
              <w:rPr>
                <w:rFonts w:ascii="Arial" w:hAnsi="Arial" w:cs="Arial"/>
                <w:b/>
                <w:color w:val="00B050"/>
                <w:sz w:val="20"/>
              </w:rPr>
              <w:t>2.1</w:t>
            </w:r>
            <w:r w:rsidRPr="00BE4DF3">
              <w:rPr>
                <w:rFonts w:ascii="Arial" w:hAnsi="Arial" w:cs="Arial"/>
                <w:b/>
                <w:color w:val="00B050"/>
                <w:sz w:val="20"/>
              </w:rPr>
              <w:tab/>
            </w:r>
            <w:r w:rsidRPr="00BE4DF3">
              <w:rPr>
                <w:rFonts w:ascii="Arial" w:hAnsi="Arial" w:cs="Arial"/>
                <w:b/>
                <w:color w:val="00B050"/>
                <w:sz w:val="20"/>
                <w:u w:val="single"/>
              </w:rPr>
              <w:t>NHS Outcomes Framework Domains &amp; Indicators</w:t>
            </w:r>
          </w:p>
          <w:p w14:paraId="4F4BBFA7" w14:textId="77777777" w:rsidR="0065421C" w:rsidRPr="00BE4DF3" w:rsidRDefault="0065421C" w:rsidP="00AA4CEE">
            <w:pPr>
              <w:spacing w:after="0" w:line="276" w:lineRule="auto"/>
              <w:rPr>
                <w:rFonts w:ascii="Arial" w:hAnsi="Arial" w:cs="Arial"/>
                <w:b/>
                <w:color w:val="00B050"/>
                <w:sz w:val="20"/>
              </w:rPr>
            </w:pPr>
          </w:p>
          <w:tbl>
            <w:tblPr>
              <w:tblStyle w:val="TableGrid"/>
              <w:tblW w:w="0" w:type="auto"/>
              <w:tblInd w:w="738" w:type="dxa"/>
              <w:tblLook w:val="04A0" w:firstRow="1" w:lastRow="0" w:firstColumn="1" w:lastColumn="0" w:noHBand="0" w:noVBand="1"/>
            </w:tblPr>
            <w:tblGrid>
              <w:gridCol w:w="1261"/>
              <w:gridCol w:w="5342"/>
              <w:gridCol w:w="627"/>
            </w:tblGrid>
            <w:tr w:rsidR="0065421C" w:rsidRPr="00BE4DF3" w14:paraId="694350F9" w14:textId="77777777" w:rsidTr="00AA4CEE">
              <w:tc>
                <w:tcPr>
                  <w:tcW w:w="1276" w:type="dxa"/>
                </w:tcPr>
                <w:p w14:paraId="28043F03" w14:textId="77777777" w:rsidR="0065421C" w:rsidRPr="00BE4DF3" w:rsidRDefault="0065421C" w:rsidP="00AA4CEE">
                  <w:pPr>
                    <w:spacing w:line="276" w:lineRule="auto"/>
                    <w:rPr>
                      <w:rFonts w:ascii="Arial" w:hAnsi="Arial" w:cs="Arial"/>
                      <w:b/>
                      <w:color w:val="00B050"/>
                      <w:sz w:val="20"/>
                    </w:rPr>
                  </w:pPr>
                  <w:r w:rsidRPr="00BE4DF3">
                    <w:rPr>
                      <w:rFonts w:ascii="Arial" w:hAnsi="Arial" w:cs="Arial"/>
                      <w:b/>
                      <w:color w:val="00B050"/>
                      <w:sz w:val="20"/>
                    </w:rPr>
                    <w:t>Domain 1</w:t>
                  </w:r>
                </w:p>
              </w:tc>
              <w:tc>
                <w:tcPr>
                  <w:tcW w:w="5528" w:type="dxa"/>
                </w:tcPr>
                <w:p w14:paraId="45F22BA8" w14:textId="77777777" w:rsidR="0065421C" w:rsidRPr="00BE4DF3" w:rsidRDefault="0065421C" w:rsidP="00AA4CEE">
                  <w:pPr>
                    <w:spacing w:line="276" w:lineRule="auto"/>
                    <w:rPr>
                      <w:rFonts w:ascii="Arial" w:hAnsi="Arial" w:cs="Arial"/>
                      <w:b/>
                      <w:color w:val="00B050"/>
                      <w:sz w:val="20"/>
                    </w:rPr>
                  </w:pPr>
                  <w:r w:rsidRPr="00BE4DF3">
                    <w:rPr>
                      <w:rFonts w:ascii="Arial" w:hAnsi="Arial" w:cs="Arial"/>
                      <w:b/>
                      <w:color w:val="00B050"/>
                      <w:sz w:val="20"/>
                    </w:rPr>
                    <w:t>Preventing people from dying prematurely</w:t>
                  </w:r>
                </w:p>
              </w:tc>
              <w:tc>
                <w:tcPr>
                  <w:tcW w:w="641" w:type="dxa"/>
                </w:tcPr>
                <w:p w14:paraId="7681B680" w14:textId="77777777" w:rsidR="0065421C" w:rsidRPr="00BE4DF3" w:rsidRDefault="0065421C" w:rsidP="00AA4CEE">
                  <w:pPr>
                    <w:spacing w:line="276" w:lineRule="auto"/>
                    <w:rPr>
                      <w:rFonts w:ascii="Arial" w:hAnsi="Arial" w:cs="Arial"/>
                      <w:b/>
                      <w:color w:val="00B050"/>
                      <w:sz w:val="20"/>
                    </w:rPr>
                  </w:pPr>
                </w:p>
              </w:tc>
            </w:tr>
            <w:tr w:rsidR="0065421C" w:rsidRPr="00BE4DF3" w14:paraId="6E724DC2" w14:textId="77777777" w:rsidTr="00AA4CEE">
              <w:tc>
                <w:tcPr>
                  <w:tcW w:w="1276" w:type="dxa"/>
                </w:tcPr>
                <w:p w14:paraId="56863FB1" w14:textId="77777777" w:rsidR="0065421C" w:rsidRPr="00BE4DF3" w:rsidRDefault="0065421C" w:rsidP="00AA4CEE">
                  <w:pPr>
                    <w:spacing w:line="276" w:lineRule="auto"/>
                    <w:rPr>
                      <w:rFonts w:ascii="Arial" w:hAnsi="Arial" w:cs="Arial"/>
                      <w:b/>
                      <w:color w:val="00B050"/>
                      <w:sz w:val="20"/>
                    </w:rPr>
                  </w:pPr>
                  <w:r w:rsidRPr="00BE4DF3">
                    <w:rPr>
                      <w:rFonts w:ascii="Arial" w:hAnsi="Arial" w:cs="Arial"/>
                      <w:b/>
                      <w:color w:val="00B050"/>
                      <w:sz w:val="20"/>
                    </w:rPr>
                    <w:t>Domain 2</w:t>
                  </w:r>
                </w:p>
              </w:tc>
              <w:tc>
                <w:tcPr>
                  <w:tcW w:w="5528" w:type="dxa"/>
                </w:tcPr>
                <w:p w14:paraId="77463DF7" w14:textId="77777777" w:rsidR="0065421C" w:rsidRPr="00BE4DF3" w:rsidRDefault="0065421C" w:rsidP="00AA4CEE">
                  <w:pPr>
                    <w:spacing w:line="276" w:lineRule="auto"/>
                    <w:rPr>
                      <w:rFonts w:ascii="Arial" w:hAnsi="Arial" w:cs="Arial"/>
                      <w:b/>
                      <w:color w:val="00B050"/>
                      <w:sz w:val="20"/>
                    </w:rPr>
                  </w:pPr>
                  <w:r w:rsidRPr="00BE4DF3">
                    <w:rPr>
                      <w:rFonts w:ascii="Arial" w:hAnsi="Arial" w:cs="Arial"/>
                      <w:b/>
                      <w:color w:val="00B050"/>
                      <w:sz w:val="20"/>
                    </w:rPr>
                    <w:t>Enhancing quality of life for people with long-term conditions</w:t>
                  </w:r>
                </w:p>
              </w:tc>
              <w:tc>
                <w:tcPr>
                  <w:tcW w:w="641" w:type="dxa"/>
                </w:tcPr>
                <w:p w14:paraId="5CC436AC" w14:textId="77777777" w:rsidR="0065421C" w:rsidRPr="007F0987" w:rsidRDefault="0065421C" w:rsidP="00AA4CEE">
                  <w:pPr>
                    <w:spacing w:line="276" w:lineRule="auto"/>
                    <w:rPr>
                      <w:rFonts w:ascii="Arial" w:hAnsi="Arial" w:cs="Arial"/>
                      <w:sz w:val="22"/>
                      <w:szCs w:val="22"/>
                    </w:rPr>
                  </w:pPr>
                  <w:r w:rsidRPr="007F0987">
                    <w:rPr>
                      <w:rFonts w:ascii="Arial" w:hAnsi="Arial" w:cs="Arial"/>
                      <w:sz w:val="22"/>
                      <w:szCs w:val="22"/>
                    </w:rPr>
                    <w:t>x</w:t>
                  </w:r>
                </w:p>
              </w:tc>
            </w:tr>
            <w:tr w:rsidR="0065421C" w:rsidRPr="00BE4DF3" w14:paraId="53F9E379" w14:textId="77777777" w:rsidTr="00AA4CEE">
              <w:tc>
                <w:tcPr>
                  <w:tcW w:w="1276" w:type="dxa"/>
                </w:tcPr>
                <w:p w14:paraId="321DED2F" w14:textId="77777777" w:rsidR="0065421C" w:rsidRPr="00BE4DF3" w:rsidRDefault="0065421C" w:rsidP="00AA4CEE">
                  <w:pPr>
                    <w:spacing w:line="276" w:lineRule="auto"/>
                    <w:rPr>
                      <w:rFonts w:ascii="Arial" w:hAnsi="Arial" w:cs="Arial"/>
                      <w:b/>
                      <w:color w:val="00B050"/>
                      <w:sz w:val="20"/>
                    </w:rPr>
                  </w:pPr>
                  <w:r w:rsidRPr="00BE4DF3">
                    <w:rPr>
                      <w:rFonts w:ascii="Arial" w:hAnsi="Arial" w:cs="Arial"/>
                      <w:b/>
                      <w:color w:val="00B050"/>
                      <w:sz w:val="20"/>
                    </w:rPr>
                    <w:t>Domain 3</w:t>
                  </w:r>
                </w:p>
              </w:tc>
              <w:tc>
                <w:tcPr>
                  <w:tcW w:w="5528" w:type="dxa"/>
                </w:tcPr>
                <w:p w14:paraId="4120F885" w14:textId="77777777" w:rsidR="0065421C" w:rsidRPr="00BE4DF3" w:rsidRDefault="0065421C" w:rsidP="00AA4CEE">
                  <w:pPr>
                    <w:spacing w:line="276" w:lineRule="auto"/>
                    <w:rPr>
                      <w:rFonts w:ascii="Arial" w:hAnsi="Arial" w:cs="Arial"/>
                      <w:b/>
                      <w:color w:val="00B050"/>
                      <w:sz w:val="20"/>
                    </w:rPr>
                  </w:pPr>
                  <w:r w:rsidRPr="00BE4DF3">
                    <w:rPr>
                      <w:rFonts w:ascii="Arial" w:hAnsi="Arial" w:cs="Arial"/>
                      <w:b/>
                      <w:color w:val="00B050"/>
                      <w:sz w:val="20"/>
                    </w:rPr>
                    <w:t>Helping people to recover from episodes of ill-health or following injury</w:t>
                  </w:r>
                </w:p>
              </w:tc>
              <w:tc>
                <w:tcPr>
                  <w:tcW w:w="641" w:type="dxa"/>
                </w:tcPr>
                <w:p w14:paraId="28EAD4FE" w14:textId="77777777" w:rsidR="0065421C" w:rsidRPr="007F0987" w:rsidRDefault="0065421C" w:rsidP="00AA4CEE">
                  <w:pPr>
                    <w:spacing w:line="276" w:lineRule="auto"/>
                    <w:rPr>
                      <w:rFonts w:ascii="Arial" w:hAnsi="Arial" w:cs="Arial"/>
                      <w:sz w:val="22"/>
                      <w:szCs w:val="22"/>
                    </w:rPr>
                  </w:pPr>
                </w:p>
              </w:tc>
            </w:tr>
            <w:tr w:rsidR="0065421C" w:rsidRPr="00BE4DF3" w14:paraId="1B15E8FB" w14:textId="77777777" w:rsidTr="00AA4CEE">
              <w:tc>
                <w:tcPr>
                  <w:tcW w:w="1276" w:type="dxa"/>
                </w:tcPr>
                <w:p w14:paraId="34987293" w14:textId="77777777" w:rsidR="0065421C" w:rsidRPr="00BE4DF3" w:rsidRDefault="0065421C" w:rsidP="00AA4CEE">
                  <w:pPr>
                    <w:spacing w:line="276" w:lineRule="auto"/>
                    <w:rPr>
                      <w:rFonts w:ascii="Arial" w:hAnsi="Arial" w:cs="Arial"/>
                      <w:b/>
                      <w:color w:val="00B050"/>
                      <w:sz w:val="20"/>
                    </w:rPr>
                  </w:pPr>
                  <w:r w:rsidRPr="00BE4DF3">
                    <w:rPr>
                      <w:rFonts w:ascii="Arial" w:hAnsi="Arial" w:cs="Arial"/>
                      <w:b/>
                      <w:color w:val="00B050"/>
                      <w:sz w:val="20"/>
                    </w:rPr>
                    <w:t>Domain 4</w:t>
                  </w:r>
                </w:p>
              </w:tc>
              <w:tc>
                <w:tcPr>
                  <w:tcW w:w="5528" w:type="dxa"/>
                </w:tcPr>
                <w:p w14:paraId="57702E2B" w14:textId="77777777" w:rsidR="0065421C" w:rsidRPr="00BE4DF3" w:rsidRDefault="0065421C" w:rsidP="00AA4CEE">
                  <w:pPr>
                    <w:spacing w:line="276" w:lineRule="auto"/>
                    <w:rPr>
                      <w:rFonts w:ascii="Arial" w:hAnsi="Arial" w:cs="Arial"/>
                      <w:b/>
                      <w:color w:val="00B050"/>
                      <w:sz w:val="20"/>
                    </w:rPr>
                  </w:pPr>
                  <w:r w:rsidRPr="00BE4DF3">
                    <w:rPr>
                      <w:rFonts w:ascii="Arial" w:hAnsi="Arial" w:cs="Arial"/>
                      <w:b/>
                      <w:color w:val="00B050"/>
                      <w:sz w:val="20"/>
                    </w:rPr>
                    <w:t>Ensuring people have a positive experience of care</w:t>
                  </w:r>
                </w:p>
              </w:tc>
              <w:tc>
                <w:tcPr>
                  <w:tcW w:w="641" w:type="dxa"/>
                </w:tcPr>
                <w:p w14:paraId="05A80D61" w14:textId="77777777" w:rsidR="0065421C" w:rsidRPr="007F0987" w:rsidRDefault="0065421C" w:rsidP="00AA4CEE">
                  <w:pPr>
                    <w:spacing w:line="276" w:lineRule="auto"/>
                    <w:rPr>
                      <w:rFonts w:ascii="Arial" w:hAnsi="Arial" w:cs="Arial"/>
                      <w:sz w:val="22"/>
                      <w:szCs w:val="22"/>
                    </w:rPr>
                  </w:pPr>
                  <w:r w:rsidRPr="007F0987">
                    <w:rPr>
                      <w:rFonts w:ascii="Arial" w:hAnsi="Arial" w:cs="Arial"/>
                      <w:sz w:val="22"/>
                      <w:szCs w:val="22"/>
                    </w:rPr>
                    <w:t>x</w:t>
                  </w:r>
                </w:p>
              </w:tc>
            </w:tr>
            <w:tr w:rsidR="0065421C" w:rsidRPr="00BE4DF3" w14:paraId="66AF8585" w14:textId="77777777" w:rsidTr="00AA4CEE">
              <w:tc>
                <w:tcPr>
                  <w:tcW w:w="1276" w:type="dxa"/>
                </w:tcPr>
                <w:p w14:paraId="32979524" w14:textId="77777777" w:rsidR="0065421C" w:rsidRPr="00BE4DF3" w:rsidRDefault="0065421C" w:rsidP="00AA4CEE">
                  <w:pPr>
                    <w:spacing w:line="276" w:lineRule="auto"/>
                    <w:rPr>
                      <w:rFonts w:ascii="Arial" w:hAnsi="Arial" w:cs="Arial"/>
                      <w:b/>
                      <w:color w:val="00B050"/>
                      <w:sz w:val="20"/>
                    </w:rPr>
                  </w:pPr>
                  <w:r w:rsidRPr="00BE4DF3">
                    <w:rPr>
                      <w:rFonts w:ascii="Arial" w:hAnsi="Arial" w:cs="Arial"/>
                      <w:b/>
                      <w:color w:val="00B050"/>
                      <w:sz w:val="20"/>
                    </w:rPr>
                    <w:t>Domain 5</w:t>
                  </w:r>
                </w:p>
              </w:tc>
              <w:tc>
                <w:tcPr>
                  <w:tcW w:w="5528" w:type="dxa"/>
                </w:tcPr>
                <w:p w14:paraId="7C414324" w14:textId="77777777" w:rsidR="0065421C" w:rsidRPr="00BE4DF3" w:rsidRDefault="0065421C" w:rsidP="00AA4CEE">
                  <w:pPr>
                    <w:spacing w:line="276" w:lineRule="auto"/>
                    <w:rPr>
                      <w:rFonts w:ascii="Arial" w:hAnsi="Arial" w:cs="Arial"/>
                      <w:b/>
                      <w:color w:val="00B050"/>
                      <w:sz w:val="20"/>
                    </w:rPr>
                  </w:pPr>
                  <w:r w:rsidRPr="00BE4DF3">
                    <w:rPr>
                      <w:rFonts w:ascii="Arial" w:hAnsi="Arial" w:cs="Arial"/>
                      <w:b/>
                      <w:color w:val="00B050"/>
                      <w:sz w:val="20"/>
                    </w:rPr>
                    <w:t>Treating and caring for people in safe environment and protecting them from avoidable harm</w:t>
                  </w:r>
                </w:p>
              </w:tc>
              <w:tc>
                <w:tcPr>
                  <w:tcW w:w="641" w:type="dxa"/>
                </w:tcPr>
                <w:p w14:paraId="6EB9BDB4" w14:textId="77777777" w:rsidR="0065421C" w:rsidRPr="007F0987" w:rsidRDefault="0065421C" w:rsidP="00AA4CEE">
                  <w:pPr>
                    <w:spacing w:line="276" w:lineRule="auto"/>
                    <w:rPr>
                      <w:rFonts w:ascii="Arial" w:hAnsi="Arial" w:cs="Arial"/>
                      <w:sz w:val="22"/>
                      <w:szCs w:val="22"/>
                    </w:rPr>
                  </w:pPr>
                  <w:r w:rsidRPr="007F0987">
                    <w:rPr>
                      <w:rFonts w:ascii="Arial" w:hAnsi="Arial" w:cs="Arial"/>
                      <w:sz w:val="22"/>
                      <w:szCs w:val="22"/>
                    </w:rPr>
                    <w:t>x</w:t>
                  </w:r>
                </w:p>
              </w:tc>
            </w:tr>
          </w:tbl>
          <w:p w14:paraId="76A22524" w14:textId="77777777" w:rsidR="0065421C" w:rsidRDefault="0065421C" w:rsidP="00AA4CEE">
            <w:pPr>
              <w:spacing w:after="0" w:line="276" w:lineRule="auto"/>
              <w:rPr>
                <w:rFonts w:ascii="Arial" w:hAnsi="Arial" w:cs="Arial"/>
                <w:b/>
                <w:color w:val="F79646"/>
                <w:sz w:val="20"/>
              </w:rPr>
            </w:pPr>
          </w:p>
          <w:p w14:paraId="4577D083" w14:textId="77777777" w:rsidR="0065421C" w:rsidRPr="00DF4267" w:rsidRDefault="0065421C" w:rsidP="00AA4CEE">
            <w:pPr>
              <w:spacing w:after="0" w:line="276" w:lineRule="auto"/>
              <w:rPr>
                <w:rFonts w:ascii="Arial" w:hAnsi="Arial" w:cs="Arial"/>
                <w:b/>
                <w:color w:val="F79646"/>
                <w:sz w:val="20"/>
              </w:rPr>
            </w:pPr>
          </w:p>
        </w:tc>
      </w:tr>
      <w:tr w:rsidR="0065421C" w:rsidRPr="00B5552C" w14:paraId="2CDD5F2D" w14:textId="77777777" w:rsidTr="00AA4CEE">
        <w:tc>
          <w:tcPr>
            <w:tcW w:w="8414" w:type="dxa"/>
            <w:shd w:val="clear" w:color="auto" w:fill="595959"/>
          </w:tcPr>
          <w:p w14:paraId="76AED990" w14:textId="77777777" w:rsidR="0065421C" w:rsidRPr="00B5552C" w:rsidRDefault="0065421C" w:rsidP="00AA4CEE">
            <w:pPr>
              <w:spacing w:after="0" w:line="276" w:lineRule="auto"/>
              <w:rPr>
                <w:rFonts w:ascii="Arial" w:hAnsi="Arial" w:cs="Arial"/>
                <w:b/>
                <w:color w:val="F79646"/>
              </w:rPr>
            </w:pPr>
            <w:r w:rsidRPr="00B5552C">
              <w:rPr>
                <w:rFonts w:ascii="Arial" w:hAnsi="Arial" w:cs="Arial"/>
                <w:b/>
                <w:color w:val="F79646"/>
              </w:rPr>
              <w:t>3.</w:t>
            </w:r>
            <w:r w:rsidRPr="00B5552C">
              <w:rPr>
                <w:rFonts w:ascii="Arial" w:hAnsi="Arial" w:cs="Arial"/>
                <w:b/>
                <w:color w:val="F79646"/>
              </w:rPr>
              <w:tab/>
              <w:t>Scope</w:t>
            </w:r>
          </w:p>
        </w:tc>
      </w:tr>
      <w:tr w:rsidR="0065421C" w:rsidRPr="00512021" w14:paraId="316A290D" w14:textId="77777777" w:rsidTr="00AA4CEE">
        <w:tc>
          <w:tcPr>
            <w:tcW w:w="8414" w:type="dxa"/>
            <w:shd w:val="clear" w:color="auto" w:fill="auto"/>
          </w:tcPr>
          <w:p w14:paraId="4399108C" w14:textId="77777777" w:rsidR="0065421C" w:rsidRPr="00512021" w:rsidRDefault="0065421C" w:rsidP="00AA4CEE">
            <w:pPr>
              <w:spacing w:after="0"/>
              <w:rPr>
                <w:rFonts w:ascii="Arial" w:hAnsi="Arial" w:cs="Arial"/>
                <w:sz w:val="20"/>
              </w:rPr>
            </w:pPr>
          </w:p>
          <w:p w14:paraId="621CA479" w14:textId="77777777" w:rsidR="0065421C" w:rsidRPr="00F47C01" w:rsidRDefault="0065421C" w:rsidP="00AA4CEE">
            <w:pPr>
              <w:spacing w:after="0"/>
              <w:rPr>
                <w:rFonts w:ascii="Arial" w:hAnsi="Arial" w:cs="Arial"/>
                <w:b/>
                <w:color w:val="009966"/>
                <w:sz w:val="20"/>
              </w:rPr>
            </w:pPr>
            <w:r>
              <w:rPr>
                <w:rFonts w:ascii="Arial" w:hAnsi="Arial" w:cs="Arial"/>
                <w:b/>
                <w:color w:val="009966"/>
                <w:sz w:val="20"/>
              </w:rPr>
              <w:t>3</w:t>
            </w:r>
            <w:r w:rsidRPr="00F47C01">
              <w:rPr>
                <w:rFonts w:ascii="Arial" w:hAnsi="Arial" w:cs="Arial"/>
                <w:b/>
                <w:color w:val="009966"/>
                <w:sz w:val="20"/>
              </w:rPr>
              <w:t>.1</w:t>
            </w:r>
            <w:r w:rsidRPr="00F47C01">
              <w:rPr>
                <w:rFonts w:ascii="Arial" w:hAnsi="Arial" w:cs="Arial"/>
                <w:b/>
                <w:color w:val="009966"/>
                <w:sz w:val="20"/>
              </w:rPr>
              <w:tab/>
              <w:t>Aims and objectives of service</w:t>
            </w:r>
          </w:p>
          <w:p w14:paraId="7FDE9915" w14:textId="77777777" w:rsidR="0065421C" w:rsidRPr="007F0987" w:rsidRDefault="0065421C" w:rsidP="0065421C">
            <w:pPr>
              <w:pStyle w:val="NormPlus"/>
              <w:numPr>
                <w:ilvl w:val="0"/>
                <w:numId w:val="48"/>
              </w:numPr>
              <w:spacing w:before="0" w:line="360" w:lineRule="auto"/>
              <w:rPr>
                <w:sz w:val="20"/>
                <w:szCs w:val="20"/>
              </w:rPr>
            </w:pPr>
            <w:r w:rsidRPr="007F0987">
              <w:rPr>
                <w:sz w:val="20"/>
                <w:szCs w:val="20"/>
              </w:rPr>
              <w:t>To improve the care of the dying in the last few days/hours of life by:</w:t>
            </w:r>
          </w:p>
          <w:p w14:paraId="19A3C6BF" w14:textId="77777777" w:rsidR="0065421C" w:rsidRPr="007F0987" w:rsidRDefault="0065421C" w:rsidP="0065421C">
            <w:pPr>
              <w:pStyle w:val="NormPlus"/>
              <w:numPr>
                <w:ilvl w:val="0"/>
                <w:numId w:val="48"/>
              </w:numPr>
              <w:spacing w:before="0" w:line="360" w:lineRule="auto"/>
              <w:rPr>
                <w:sz w:val="20"/>
                <w:szCs w:val="20"/>
              </w:rPr>
            </w:pPr>
            <w:r>
              <w:rPr>
                <w:sz w:val="20"/>
                <w:szCs w:val="20"/>
              </w:rPr>
              <w:t>P</w:t>
            </w:r>
            <w:r w:rsidRPr="007F0987">
              <w:rPr>
                <w:sz w:val="20"/>
                <w:szCs w:val="20"/>
              </w:rPr>
              <w:t>harmacies having sufficient stock of an appropriate range of palliative care medicines (PCMs) during core hours.</w:t>
            </w:r>
          </w:p>
          <w:p w14:paraId="3B0C5AA3" w14:textId="77777777" w:rsidR="0065421C" w:rsidRPr="007F0987" w:rsidRDefault="0065421C" w:rsidP="0065421C">
            <w:pPr>
              <w:pStyle w:val="NormPlus"/>
              <w:numPr>
                <w:ilvl w:val="0"/>
                <w:numId w:val="48"/>
              </w:numPr>
              <w:spacing w:before="0" w:line="360" w:lineRule="auto"/>
              <w:rPr>
                <w:sz w:val="20"/>
                <w:szCs w:val="20"/>
              </w:rPr>
            </w:pPr>
            <w:r>
              <w:rPr>
                <w:sz w:val="20"/>
                <w:szCs w:val="20"/>
              </w:rPr>
              <w:t>P</w:t>
            </w:r>
            <w:r w:rsidRPr="007F0987">
              <w:rPr>
                <w:sz w:val="20"/>
                <w:szCs w:val="20"/>
              </w:rPr>
              <w:t xml:space="preserve">harmacies signposting carers to another participating pharmacy with sufficient stock, in the event that they are unable to immediately supply the necessary palliative care medicines. </w:t>
            </w:r>
          </w:p>
          <w:p w14:paraId="63FE0378" w14:textId="77777777" w:rsidR="0065421C" w:rsidRPr="00390A2D" w:rsidRDefault="0065421C" w:rsidP="00AA4CEE">
            <w:pPr>
              <w:spacing w:after="0"/>
              <w:rPr>
                <w:rFonts w:ascii="Arial" w:hAnsi="Arial" w:cs="Arial"/>
                <w:color w:val="009966"/>
                <w:sz w:val="20"/>
              </w:rPr>
            </w:pPr>
          </w:p>
          <w:p w14:paraId="22D7EDC9" w14:textId="77777777" w:rsidR="0065421C" w:rsidRPr="00390A2D" w:rsidRDefault="0065421C" w:rsidP="00AA4CEE">
            <w:pPr>
              <w:spacing w:after="0"/>
              <w:rPr>
                <w:rFonts w:ascii="Arial" w:hAnsi="Arial" w:cs="Arial"/>
                <w:color w:val="009966"/>
                <w:sz w:val="20"/>
              </w:rPr>
            </w:pPr>
          </w:p>
          <w:p w14:paraId="50C9EDAB" w14:textId="77777777" w:rsidR="0065421C" w:rsidRDefault="0065421C" w:rsidP="00AA4CEE">
            <w:pPr>
              <w:spacing w:after="0"/>
              <w:rPr>
                <w:rFonts w:ascii="Arial" w:hAnsi="Arial" w:cs="Arial"/>
                <w:b/>
                <w:color w:val="009966"/>
                <w:sz w:val="20"/>
              </w:rPr>
            </w:pPr>
            <w:r>
              <w:rPr>
                <w:rFonts w:ascii="Arial" w:hAnsi="Arial" w:cs="Arial"/>
                <w:b/>
                <w:color w:val="009966"/>
                <w:sz w:val="20"/>
              </w:rPr>
              <w:t>3</w:t>
            </w:r>
            <w:r w:rsidRPr="00F47C01">
              <w:rPr>
                <w:rFonts w:ascii="Arial" w:hAnsi="Arial" w:cs="Arial"/>
                <w:b/>
                <w:color w:val="009966"/>
                <w:sz w:val="20"/>
              </w:rPr>
              <w:t>.2</w:t>
            </w:r>
            <w:r w:rsidRPr="00F47C01">
              <w:rPr>
                <w:rFonts w:ascii="Arial" w:hAnsi="Arial" w:cs="Arial"/>
                <w:b/>
                <w:color w:val="009966"/>
                <w:sz w:val="20"/>
              </w:rPr>
              <w:tab/>
              <w:t>Service description/care pathway</w:t>
            </w:r>
          </w:p>
          <w:p w14:paraId="6DAF950E" w14:textId="77777777" w:rsidR="0065421C" w:rsidRPr="007F0987" w:rsidRDefault="0065421C" w:rsidP="00AA4CEE">
            <w:pPr>
              <w:pStyle w:val="NormOut"/>
              <w:spacing w:before="0" w:line="360" w:lineRule="auto"/>
              <w:rPr>
                <w:sz w:val="20"/>
                <w:szCs w:val="20"/>
              </w:rPr>
            </w:pPr>
            <w:r w:rsidRPr="007F0987">
              <w:rPr>
                <w:sz w:val="20"/>
                <w:szCs w:val="20"/>
              </w:rPr>
              <w:t>Service Descriptions</w:t>
            </w:r>
          </w:p>
          <w:p w14:paraId="03F6356C" w14:textId="77777777" w:rsidR="0065421C" w:rsidRPr="007F0987" w:rsidRDefault="0065421C" w:rsidP="00AA4CEE">
            <w:pPr>
              <w:pStyle w:val="NormPlus"/>
              <w:spacing w:before="0" w:line="360" w:lineRule="auto"/>
              <w:rPr>
                <w:sz w:val="20"/>
                <w:szCs w:val="20"/>
              </w:rPr>
            </w:pPr>
            <w:r w:rsidRPr="007F0987">
              <w:rPr>
                <w:sz w:val="20"/>
                <w:szCs w:val="20"/>
              </w:rPr>
              <w:lastRenderedPageBreak/>
              <w:t>A minimum stock of PCMs (see appendix A) must be carried at each pharmacy premises accredited to do so.</w:t>
            </w:r>
          </w:p>
          <w:p w14:paraId="176C231D" w14:textId="77777777" w:rsidR="0065421C" w:rsidRPr="007F0987" w:rsidRDefault="0065421C" w:rsidP="00AA4CEE">
            <w:pPr>
              <w:pStyle w:val="NormPlus"/>
              <w:spacing w:before="0" w:line="360" w:lineRule="auto"/>
              <w:rPr>
                <w:sz w:val="20"/>
                <w:szCs w:val="20"/>
              </w:rPr>
            </w:pPr>
            <w:r w:rsidRPr="007F0987">
              <w:rPr>
                <w:sz w:val="20"/>
                <w:szCs w:val="20"/>
              </w:rPr>
              <w:t>The pharmacy must ensure their PCM stock is audited every month: to maintain the minimum stock level of each drug, to have a shelf life sufficient to cover the period until the next audit plus one week.</w:t>
            </w:r>
          </w:p>
          <w:p w14:paraId="2A8BCFD3" w14:textId="77777777" w:rsidR="0065421C" w:rsidRPr="007F0987" w:rsidRDefault="0065421C" w:rsidP="00AA4CEE">
            <w:pPr>
              <w:pStyle w:val="NormPlus"/>
              <w:spacing w:before="0" w:line="360" w:lineRule="auto"/>
              <w:rPr>
                <w:sz w:val="20"/>
                <w:szCs w:val="20"/>
              </w:rPr>
            </w:pPr>
            <w:r w:rsidRPr="007F0987">
              <w:rPr>
                <w:sz w:val="20"/>
                <w:szCs w:val="20"/>
              </w:rPr>
              <w:t>The pharmacy must ensure rotation of their PCM stock, wherever reasonably practicable, with their existing stock to minimise wastage.</w:t>
            </w:r>
          </w:p>
          <w:p w14:paraId="50B0A5A5" w14:textId="77777777" w:rsidR="0065421C" w:rsidRPr="007F0987" w:rsidRDefault="0065421C" w:rsidP="00AA4CEE">
            <w:pPr>
              <w:pStyle w:val="NormPlus"/>
              <w:spacing w:before="0" w:line="360" w:lineRule="auto"/>
              <w:rPr>
                <w:sz w:val="20"/>
                <w:szCs w:val="20"/>
              </w:rPr>
            </w:pPr>
            <w:r w:rsidRPr="007F0987">
              <w:rPr>
                <w:sz w:val="20"/>
                <w:szCs w:val="20"/>
              </w:rPr>
              <w:t xml:space="preserve">The pharmacy must ensure patients or their </w:t>
            </w:r>
            <w:proofErr w:type="spellStart"/>
            <w:r w:rsidRPr="007F0987">
              <w:rPr>
                <w:sz w:val="20"/>
                <w:szCs w:val="20"/>
              </w:rPr>
              <w:t>carers</w:t>
            </w:r>
            <w:proofErr w:type="spellEnd"/>
            <w:r w:rsidRPr="007F0987">
              <w:rPr>
                <w:sz w:val="20"/>
                <w:szCs w:val="20"/>
              </w:rPr>
              <w:t xml:space="preserve"> are signposted to another participating pharmacy if their own PCM stock does not fulfil the needs of a particular patient.</w:t>
            </w:r>
          </w:p>
          <w:p w14:paraId="23CF9C89" w14:textId="77777777" w:rsidR="0065421C" w:rsidRPr="007F0987" w:rsidRDefault="0065421C" w:rsidP="00AA4CEE">
            <w:pPr>
              <w:pStyle w:val="NormPlus"/>
              <w:spacing w:before="0" w:line="360" w:lineRule="auto"/>
              <w:rPr>
                <w:sz w:val="20"/>
                <w:szCs w:val="20"/>
              </w:rPr>
            </w:pPr>
            <w:r w:rsidRPr="007F0987">
              <w:rPr>
                <w:sz w:val="20"/>
                <w:szCs w:val="20"/>
              </w:rPr>
              <w:t>After issuing PCMs the contractor must ensure the stock is restored to the minimum level within 24 hours.</w:t>
            </w:r>
          </w:p>
          <w:p w14:paraId="6EB4F554" w14:textId="77777777" w:rsidR="0065421C" w:rsidRPr="007F0987" w:rsidRDefault="0065421C" w:rsidP="0065421C">
            <w:pPr>
              <w:pStyle w:val="NormPlus"/>
              <w:numPr>
                <w:ilvl w:val="2"/>
                <w:numId w:val="46"/>
              </w:numPr>
              <w:spacing w:before="0" w:line="360" w:lineRule="auto"/>
              <w:ind w:left="1440" w:hanging="720"/>
              <w:rPr>
                <w:sz w:val="20"/>
                <w:szCs w:val="20"/>
              </w:rPr>
            </w:pPr>
            <w:r w:rsidRPr="007F0987">
              <w:rPr>
                <w:sz w:val="20"/>
                <w:szCs w:val="20"/>
              </w:rPr>
              <w:t>The CCG recognises the difficulty in ordering replacement stock on weekends and during holiday periods. In the event that stock cannot be replaced, patients or their carers must be signposted to another participating pharmacy.</w:t>
            </w:r>
          </w:p>
          <w:p w14:paraId="2F34953F" w14:textId="77777777" w:rsidR="0065421C" w:rsidRPr="007F0987" w:rsidRDefault="0065421C" w:rsidP="00AA4CEE">
            <w:pPr>
              <w:pStyle w:val="NormPlus"/>
              <w:spacing w:before="0" w:line="360" w:lineRule="auto"/>
              <w:rPr>
                <w:sz w:val="20"/>
                <w:szCs w:val="20"/>
              </w:rPr>
            </w:pPr>
            <w:r w:rsidRPr="007F0987">
              <w:rPr>
                <w:sz w:val="20"/>
                <w:szCs w:val="20"/>
              </w:rPr>
              <w:t>The pharmacy will take part in an annual audit of the PCM stock if requested to do so by the CCG. This may be used to ensure compliance with the specifications of this enhanced service.</w:t>
            </w:r>
          </w:p>
          <w:p w14:paraId="0F4E63F0" w14:textId="77777777" w:rsidR="0065421C" w:rsidRPr="007F0987" w:rsidRDefault="0065421C" w:rsidP="00AA4CEE">
            <w:pPr>
              <w:pStyle w:val="NormOut"/>
              <w:spacing w:before="0" w:line="360" w:lineRule="auto"/>
              <w:rPr>
                <w:sz w:val="20"/>
                <w:szCs w:val="20"/>
              </w:rPr>
            </w:pPr>
            <w:r w:rsidRPr="007F0987">
              <w:rPr>
                <w:sz w:val="20"/>
                <w:szCs w:val="20"/>
              </w:rPr>
              <w:t>Supply from Pharmacies</w:t>
            </w:r>
          </w:p>
          <w:p w14:paraId="4D5C9DB1" w14:textId="77777777" w:rsidR="0065421C" w:rsidRPr="007F0987" w:rsidRDefault="0065421C" w:rsidP="00AA4CEE">
            <w:pPr>
              <w:pStyle w:val="NormPlus"/>
              <w:spacing w:before="0" w:line="360" w:lineRule="auto"/>
              <w:rPr>
                <w:sz w:val="20"/>
                <w:szCs w:val="20"/>
              </w:rPr>
            </w:pPr>
            <w:r w:rsidRPr="007F0987">
              <w:rPr>
                <w:sz w:val="20"/>
                <w:szCs w:val="20"/>
              </w:rPr>
              <w:t>PCMs will be supplied in accordance with the Medicines Act (1968). Prescriptions will normally be issued by a general practitioner or non-medical prescriber on an FP10.</w:t>
            </w:r>
          </w:p>
          <w:p w14:paraId="751A6F48" w14:textId="77777777" w:rsidR="0065421C" w:rsidRPr="007F0987" w:rsidRDefault="0065421C" w:rsidP="00AA4CEE">
            <w:pPr>
              <w:pStyle w:val="NormOut"/>
              <w:spacing w:before="0" w:line="360" w:lineRule="auto"/>
              <w:rPr>
                <w:sz w:val="20"/>
                <w:szCs w:val="20"/>
              </w:rPr>
            </w:pPr>
            <w:r w:rsidRPr="007F0987">
              <w:rPr>
                <w:sz w:val="20"/>
                <w:szCs w:val="20"/>
              </w:rPr>
              <w:t>Expired Medicines</w:t>
            </w:r>
          </w:p>
          <w:p w14:paraId="122C1126" w14:textId="77777777" w:rsidR="0065421C" w:rsidRPr="007F0987" w:rsidRDefault="0065421C" w:rsidP="00AA4CEE">
            <w:pPr>
              <w:pStyle w:val="NormPlus"/>
              <w:spacing w:before="0" w:line="360" w:lineRule="auto"/>
              <w:rPr>
                <w:sz w:val="20"/>
                <w:szCs w:val="20"/>
              </w:rPr>
            </w:pPr>
            <w:r w:rsidRPr="007F0987">
              <w:rPr>
                <w:sz w:val="20"/>
                <w:szCs w:val="20"/>
              </w:rPr>
              <w:t>The pharmacy should claim payment from the CCG for PCMs obtained and held for the purposes of the ODAP service which pass their expiry date.</w:t>
            </w:r>
          </w:p>
          <w:p w14:paraId="3F9A992D" w14:textId="77777777" w:rsidR="0065421C" w:rsidRPr="007F0987" w:rsidRDefault="0065421C" w:rsidP="00AA4CEE">
            <w:pPr>
              <w:pStyle w:val="NormPlus"/>
              <w:spacing w:before="0" w:line="360" w:lineRule="auto"/>
              <w:rPr>
                <w:sz w:val="20"/>
                <w:szCs w:val="20"/>
              </w:rPr>
            </w:pPr>
            <w:r w:rsidRPr="007F0987">
              <w:rPr>
                <w:sz w:val="20"/>
                <w:szCs w:val="20"/>
              </w:rPr>
              <w:t>Reimbursement for replacement of expired PCMs will</w:t>
            </w:r>
            <w:r>
              <w:rPr>
                <w:sz w:val="20"/>
                <w:szCs w:val="20"/>
              </w:rPr>
              <w:t xml:space="preserve"> be</w:t>
            </w:r>
            <w:r w:rsidRPr="007F0987">
              <w:rPr>
                <w:sz w:val="20"/>
                <w:szCs w:val="20"/>
              </w:rPr>
              <w:t xml:space="preserve"> calculated at the latest Drug Tariff price. </w:t>
            </w:r>
          </w:p>
          <w:p w14:paraId="28F319EF" w14:textId="77777777" w:rsidR="0065421C" w:rsidRDefault="0065421C" w:rsidP="00AA4CEE">
            <w:pPr>
              <w:pStyle w:val="NormPlus"/>
              <w:spacing w:before="0" w:line="360" w:lineRule="auto"/>
              <w:rPr>
                <w:sz w:val="20"/>
                <w:szCs w:val="20"/>
              </w:rPr>
            </w:pPr>
            <w:r w:rsidRPr="007F0987">
              <w:rPr>
                <w:sz w:val="20"/>
                <w:szCs w:val="20"/>
              </w:rPr>
              <w:t>The pharmacy should submit an invoice to the CCG, a template invoice is contained in Appendix B.</w:t>
            </w:r>
          </w:p>
          <w:p w14:paraId="11369D59" w14:textId="77777777" w:rsidR="0065421C" w:rsidRPr="007F0987" w:rsidRDefault="0065421C" w:rsidP="00AA4CEE">
            <w:pPr>
              <w:pStyle w:val="NormPlus"/>
              <w:numPr>
                <w:ilvl w:val="0"/>
                <w:numId w:val="0"/>
              </w:numPr>
              <w:spacing w:before="0" w:line="360" w:lineRule="auto"/>
              <w:ind w:left="357"/>
              <w:rPr>
                <w:sz w:val="20"/>
                <w:szCs w:val="20"/>
              </w:rPr>
            </w:pPr>
          </w:p>
          <w:p w14:paraId="773F29A8" w14:textId="77777777" w:rsidR="0065421C" w:rsidRPr="007F0987" w:rsidRDefault="0065421C" w:rsidP="00AA4CEE">
            <w:pPr>
              <w:pStyle w:val="NormOut"/>
              <w:spacing w:before="0" w:line="360" w:lineRule="auto"/>
              <w:rPr>
                <w:sz w:val="20"/>
                <w:szCs w:val="20"/>
              </w:rPr>
            </w:pPr>
            <w:r w:rsidRPr="007F0987">
              <w:rPr>
                <w:sz w:val="20"/>
                <w:szCs w:val="20"/>
              </w:rPr>
              <w:t>Record Keeping</w:t>
            </w:r>
          </w:p>
          <w:p w14:paraId="4D2E196D" w14:textId="77777777" w:rsidR="0065421C" w:rsidRPr="007F0987" w:rsidRDefault="0065421C" w:rsidP="00AA4CEE">
            <w:pPr>
              <w:pStyle w:val="NormPlus"/>
              <w:spacing w:before="0" w:line="360" w:lineRule="auto"/>
              <w:rPr>
                <w:sz w:val="20"/>
                <w:szCs w:val="20"/>
              </w:rPr>
            </w:pPr>
            <w:r w:rsidRPr="007F0987">
              <w:rPr>
                <w:sz w:val="20"/>
                <w:szCs w:val="20"/>
              </w:rPr>
              <w:t>The pharmacy must keep records of their monthly audits and of any claims made to the CCG.</w:t>
            </w:r>
          </w:p>
          <w:p w14:paraId="7C924D20" w14:textId="77777777" w:rsidR="0065421C" w:rsidRPr="007F0987" w:rsidRDefault="0065421C" w:rsidP="00AA4CEE">
            <w:pPr>
              <w:pStyle w:val="NormOut"/>
              <w:spacing w:before="0" w:line="360" w:lineRule="auto"/>
              <w:rPr>
                <w:sz w:val="20"/>
                <w:szCs w:val="20"/>
              </w:rPr>
            </w:pPr>
            <w:r w:rsidRPr="007F0987">
              <w:rPr>
                <w:sz w:val="20"/>
                <w:szCs w:val="20"/>
              </w:rPr>
              <w:lastRenderedPageBreak/>
              <w:t>Publicity</w:t>
            </w:r>
          </w:p>
          <w:p w14:paraId="13A5BF5C" w14:textId="77777777" w:rsidR="0065421C" w:rsidRPr="007F0987" w:rsidRDefault="0065421C" w:rsidP="00AA4CEE">
            <w:pPr>
              <w:pStyle w:val="NormPlus"/>
              <w:spacing w:before="0" w:line="360" w:lineRule="auto"/>
              <w:rPr>
                <w:sz w:val="20"/>
                <w:szCs w:val="20"/>
              </w:rPr>
            </w:pPr>
            <w:r w:rsidRPr="007F0987">
              <w:rPr>
                <w:sz w:val="20"/>
                <w:szCs w:val="20"/>
              </w:rPr>
              <w:t>The lists of participating pharmacies will be circulated acr</w:t>
            </w:r>
            <w:r>
              <w:rPr>
                <w:sz w:val="20"/>
                <w:szCs w:val="20"/>
              </w:rPr>
              <w:t xml:space="preserve">oss St Helens Clinical Commissioning </w:t>
            </w:r>
            <w:proofErr w:type="gramStart"/>
            <w:r>
              <w:rPr>
                <w:sz w:val="20"/>
                <w:szCs w:val="20"/>
              </w:rPr>
              <w:t xml:space="preserve">Group </w:t>
            </w:r>
            <w:r w:rsidRPr="007F0987">
              <w:rPr>
                <w:sz w:val="20"/>
                <w:szCs w:val="20"/>
              </w:rPr>
              <w:t xml:space="preserve"> to</w:t>
            </w:r>
            <w:proofErr w:type="gramEnd"/>
            <w:r w:rsidRPr="007F0987">
              <w:rPr>
                <w:sz w:val="20"/>
                <w:szCs w:val="20"/>
              </w:rPr>
              <w:t xml:space="preserve"> GPs, MacMillan nurses, district nurses, hospices, the local authority, community pharmacies, walk-in centre</w:t>
            </w:r>
            <w:r>
              <w:rPr>
                <w:sz w:val="20"/>
                <w:szCs w:val="20"/>
              </w:rPr>
              <w:t>s, other relevant CCG</w:t>
            </w:r>
            <w:r w:rsidRPr="007F0987">
              <w:rPr>
                <w:sz w:val="20"/>
                <w:szCs w:val="20"/>
              </w:rPr>
              <w:t xml:space="preserve"> staff and secondary care organisations.</w:t>
            </w:r>
          </w:p>
          <w:p w14:paraId="58AAF447" w14:textId="77777777" w:rsidR="0065421C" w:rsidRPr="00512021" w:rsidRDefault="0065421C" w:rsidP="00AA4CEE">
            <w:pPr>
              <w:spacing w:after="0"/>
              <w:rPr>
                <w:rFonts w:ascii="Arial" w:hAnsi="Arial" w:cs="Arial"/>
                <w:sz w:val="20"/>
              </w:rPr>
            </w:pPr>
            <w:r w:rsidRPr="00F47C01">
              <w:rPr>
                <w:rFonts w:ascii="Arial" w:hAnsi="Arial" w:cs="Arial"/>
                <w:b/>
                <w:color w:val="009966"/>
                <w:sz w:val="20"/>
              </w:rPr>
              <w:tab/>
            </w:r>
          </w:p>
        </w:tc>
      </w:tr>
      <w:tr w:rsidR="0065421C" w:rsidRPr="00B5552C" w14:paraId="6416823E" w14:textId="77777777" w:rsidTr="00AA4CEE">
        <w:tc>
          <w:tcPr>
            <w:tcW w:w="8414" w:type="dxa"/>
            <w:shd w:val="clear" w:color="auto" w:fill="595959"/>
          </w:tcPr>
          <w:p w14:paraId="50B5A8B8" w14:textId="77777777" w:rsidR="0065421C" w:rsidRPr="00B5552C" w:rsidRDefault="0065421C" w:rsidP="00AA4CEE">
            <w:pPr>
              <w:spacing w:after="0" w:line="276" w:lineRule="auto"/>
              <w:rPr>
                <w:rFonts w:ascii="Arial" w:hAnsi="Arial" w:cs="Arial"/>
                <w:b/>
                <w:color w:val="F79646"/>
              </w:rPr>
            </w:pPr>
            <w:r w:rsidRPr="00B5552C">
              <w:rPr>
                <w:rFonts w:ascii="Arial" w:hAnsi="Arial" w:cs="Arial"/>
                <w:b/>
                <w:color w:val="F79646"/>
              </w:rPr>
              <w:lastRenderedPageBreak/>
              <w:t>4.</w:t>
            </w:r>
            <w:r w:rsidRPr="00B5552C">
              <w:rPr>
                <w:rFonts w:ascii="Arial" w:hAnsi="Arial" w:cs="Arial"/>
                <w:b/>
                <w:color w:val="F79646"/>
              </w:rPr>
              <w:tab/>
              <w:t>Applicable Service Standards</w:t>
            </w:r>
          </w:p>
        </w:tc>
      </w:tr>
      <w:tr w:rsidR="0065421C" w:rsidRPr="00512021" w14:paraId="47B03E05" w14:textId="77777777" w:rsidTr="00AA4CEE">
        <w:tc>
          <w:tcPr>
            <w:tcW w:w="8414" w:type="dxa"/>
            <w:shd w:val="clear" w:color="auto" w:fill="auto"/>
          </w:tcPr>
          <w:p w14:paraId="4E8F77D6" w14:textId="77777777" w:rsidR="0065421C" w:rsidRPr="00512021" w:rsidRDefault="0065421C" w:rsidP="00AA4CEE">
            <w:pPr>
              <w:spacing w:after="0"/>
              <w:rPr>
                <w:rFonts w:ascii="Arial" w:hAnsi="Arial" w:cs="Arial"/>
                <w:sz w:val="20"/>
              </w:rPr>
            </w:pPr>
          </w:p>
          <w:p w14:paraId="70F53B7C" w14:textId="77777777" w:rsidR="0065421C" w:rsidRDefault="0065421C" w:rsidP="00AA4CEE">
            <w:pPr>
              <w:spacing w:after="0"/>
              <w:rPr>
                <w:rFonts w:ascii="Arial" w:hAnsi="Arial" w:cs="Arial"/>
                <w:b/>
                <w:color w:val="009966"/>
                <w:sz w:val="20"/>
              </w:rPr>
            </w:pPr>
            <w:r>
              <w:rPr>
                <w:rFonts w:ascii="Arial" w:hAnsi="Arial" w:cs="Arial"/>
                <w:b/>
                <w:color w:val="009966"/>
                <w:sz w:val="20"/>
              </w:rPr>
              <w:t>4</w:t>
            </w:r>
            <w:r w:rsidRPr="00F47C01">
              <w:rPr>
                <w:rFonts w:ascii="Arial" w:hAnsi="Arial" w:cs="Arial"/>
                <w:b/>
                <w:color w:val="009966"/>
                <w:sz w:val="20"/>
              </w:rPr>
              <w:t>.1</w:t>
            </w:r>
            <w:r w:rsidRPr="00F47C01">
              <w:rPr>
                <w:rFonts w:ascii="Arial" w:hAnsi="Arial" w:cs="Arial"/>
                <w:b/>
                <w:color w:val="009966"/>
                <w:sz w:val="20"/>
              </w:rPr>
              <w:tab/>
              <w:t xml:space="preserve">Applicable national standards </w:t>
            </w:r>
            <w:r>
              <w:rPr>
                <w:rFonts w:ascii="Arial" w:hAnsi="Arial" w:cs="Arial"/>
                <w:b/>
                <w:color w:val="009966"/>
                <w:sz w:val="20"/>
              </w:rPr>
              <w:t>(</w:t>
            </w:r>
            <w:proofErr w:type="spellStart"/>
            <w:r w:rsidRPr="00F47C01">
              <w:rPr>
                <w:rFonts w:ascii="Arial" w:hAnsi="Arial" w:cs="Arial"/>
                <w:b/>
                <w:color w:val="009966"/>
                <w:sz w:val="20"/>
              </w:rPr>
              <w:t>eg</w:t>
            </w:r>
            <w:proofErr w:type="spellEnd"/>
            <w:r w:rsidRPr="00F47C01">
              <w:rPr>
                <w:rFonts w:ascii="Arial" w:hAnsi="Arial" w:cs="Arial"/>
                <w:b/>
                <w:color w:val="009966"/>
                <w:sz w:val="20"/>
              </w:rPr>
              <w:t xml:space="preserve"> NICE</w:t>
            </w:r>
            <w:r>
              <w:rPr>
                <w:rFonts w:ascii="Arial" w:hAnsi="Arial" w:cs="Arial"/>
                <w:b/>
                <w:color w:val="009966"/>
                <w:sz w:val="20"/>
              </w:rPr>
              <w:t>)</w:t>
            </w:r>
          </w:p>
          <w:p w14:paraId="0AF7EFB9" w14:textId="77777777" w:rsidR="0065421C" w:rsidRPr="007F0987" w:rsidRDefault="0065421C" w:rsidP="00AA4CEE">
            <w:pPr>
              <w:spacing w:after="0"/>
              <w:rPr>
                <w:rFonts w:ascii="Arial" w:hAnsi="Arial" w:cs="Arial"/>
                <w:sz w:val="20"/>
              </w:rPr>
            </w:pPr>
            <w:r w:rsidRPr="007F0987">
              <w:rPr>
                <w:rFonts w:ascii="Arial" w:hAnsi="Arial" w:cs="Arial"/>
                <w:sz w:val="20"/>
              </w:rPr>
              <w:t>Not applicable</w:t>
            </w:r>
          </w:p>
          <w:p w14:paraId="64B4406E" w14:textId="77777777" w:rsidR="0065421C" w:rsidRDefault="0065421C" w:rsidP="00AA4CEE">
            <w:pPr>
              <w:spacing w:after="0"/>
              <w:rPr>
                <w:rFonts w:ascii="Arial" w:hAnsi="Arial" w:cs="Arial"/>
                <w:color w:val="009966"/>
                <w:sz w:val="20"/>
              </w:rPr>
            </w:pPr>
          </w:p>
          <w:p w14:paraId="7218ACF3" w14:textId="77777777" w:rsidR="0065421C" w:rsidRPr="00D47FCE" w:rsidRDefault="0065421C" w:rsidP="00AA4CEE">
            <w:pPr>
              <w:spacing w:after="0"/>
              <w:ind w:left="743" w:hanging="743"/>
              <w:rPr>
                <w:rFonts w:ascii="Arial" w:hAnsi="Arial" w:cs="Arial"/>
                <w:b/>
                <w:color w:val="009966"/>
                <w:sz w:val="20"/>
              </w:rPr>
            </w:pPr>
            <w:r w:rsidRPr="00D47FCE">
              <w:rPr>
                <w:rFonts w:ascii="Arial" w:hAnsi="Arial" w:cs="Arial"/>
                <w:b/>
                <w:color w:val="009966"/>
                <w:sz w:val="20"/>
              </w:rPr>
              <w:t>4.2</w:t>
            </w:r>
            <w:r w:rsidRPr="00D47FCE">
              <w:rPr>
                <w:rFonts w:ascii="Arial" w:hAnsi="Arial" w:cs="Arial"/>
                <w:b/>
                <w:color w:val="009966"/>
                <w:sz w:val="20"/>
              </w:rPr>
              <w:tab/>
              <w:t xml:space="preserve">Applicable standards </w:t>
            </w:r>
            <w:r>
              <w:rPr>
                <w:rFonts w:ascii="Arial" w:hAnsi="Arial" w:cs="Arial"/>
                <w:b/>
                <w:color w:val="009966"/>
                <w:sz w:val="20"/>
              </w:rPr>
              <w:t>set out in Guidance and/or issued by</w:t>
            </w:r>
            <w:r w:rsidRPr="00D47FCE">
              <w:rPr>
                <w:rFonts w:ascii="Arial" w:hAnsi="Arial" w:cs="Arial"/>
                <w:b/>
                <w:color w:val="009966"/>
                <w:sz w:val="20"/>
              </w:rPr>
              <w:t xml:space="preserve"> a competent body (</w:t>
            </w:r>
            <w:proofErr w:type="spellStart"/>
            <w:r w:rsidRPr="00D47FCE">
              <w:rPr>
                <w:rFonts w:ascii="Arial" w:hAnsi="Arial" w:cs="Arial"/>
                <w:b/>
                <w:color w:val="009966"/>
                <w:sz w:val="20"/>
              </w:rPr>
              <w:t>eg</w:t>
            </w:r>
            <w:proofErr w:type="spellEnd"/>
            <w:r w:rsidRPr="00D47FCE">
              <w:rPr>
                <w:rFonts w:ascii="Arial" w:hAnsi="Arial" w:cs="Arial"/>
                <w:b/>
                <w:color w:val="009966"/>
                <w:sz w:val="20"/>
              </w:rPr>
              <w:t xml:space="preserve"> Royal Colleges) </w:t>
            </w:r>
          </w:p>
          <w:p w14:paraId="37AFE32F" w14:textId="77777777" w:rsidR="0065421C" w:rsidRPr="007F0987" w:rsidRDefault="0065421C" w:rsidP="00AA4CEE">
            <w:pPr>
              <w:spacing w:after="0"/>
              <w:ind w:left="743" w:hanging="743"/>
              <w:rPr>
                <w:rFonts w:ascii="Arial" w:hAnsi="Arial" w:cs="Arial"/>
                <w:sz w:val="20"/>
              </w:rPr>
            </w:pPr>
            <w:r w:rsidRPr="007F0987">
              <w:rPr>
                <w:rFonts w:ascii="Arial" w:hAnsi="Arial" w:cs="Arial"/>
                <w:sz w:val="20"/>
              </w:rPr>
              <w:t>General Pharmaceutical Council</w:t>
            </w:r>
          </w:p>
          <w:p w14:paraId="71AB541E" w14:textId="77777777" w:rsidR="0065421C" w:rsidRDefault="0065421C" w:rsidP="00AA4CEE">
            <w:pPr>
              <w:spacing w:after="0"/>
              <w:rPr>
                <w:rFonts w:ascii="Arial" w:hAnsi="Arial" w:cs="Arial"/>
                <w:b/>
                <w:color w:val="009966"/>
                <w:sz w:val="20"/>
              </w:rPr>
            </w:pPr>
            <w:r>
              <w:rPr>
                <w:rFonts w:ascii="Arial" w:hAnsi="Arial" w:cs="Arial"/>
                <w:b/>
                <w:color w:val="009966"/>
                <w:sz w:val="20"/>
              </w:rPr>
              <w:t>4.3</w:t>
            </w:r>
            <w:r>
              <w:rPr>
                <w:rFonts w:ascii="Arial" w:hAnsi="Arial" w:cs="Arial"/>
                <w:b/>
                <w:color w:val="009966"/>
                <w:sz w:val="20"/>
              </w:rPr>
              <w:tab/>
              <w:t xml:space="preserve">Applicable local </w:t>
            </w:r>
            <w:r w:rsidRPr="00F47C01">
              <w:rPr>
                <w:rFonts w:ascii="Arial" w:hAnsi="Arial" w:cs="Arial"/>
                <w:b/>
                <w:color w:val="009966"/>
                <w:sz w:val="20"/>
              </w:rPr>
              <w:t>standards</w:t>
            </w:r>
          </w:p>
          <w:p w14:paraId="54C6FF21" w14:textId="77777777" w:rsidR="0065421C" w:rsidRPr="007F0987" w:rsidRDefault="0065421C" w:rsidP="0065421C">
            <w:pPr>
              <w:pStyle w:val="BulletNormal"/>
              <w:numPr>
                <w:ilvl w:val="0"/>
                <w:numId w:val="47"/>
              </w:numPr>
              <w:rPr>
                <w:sz w:val="20"/>
              </w:rPr>
            </w:pPr>
            <w:r w:rsidRPr="007F0987">
              <w:rPr>
                <w:sz w:val="20"/>
              </w:rPr>
              <w:t xml:space="preserve">Pharmacies wishing to offer the ODAP service must have suitable clinical governance arrangements in place as set out in the NHS (Pharmaceutical Services) Regulations 2005 Part 4. </w:t>
            </w:r>
          </w:p>
          <w:p w14:paraId="7136751E" w14:textId="77777777" w:rsidR="0065421C" w:rsidRPr="007F0987" w:rsidRDefault="0065421C" w:rsidP="0065421C">
            <w:pPr>
              <w:pStyle w:val="BulletNormal"/>
              <w:numPr>
                <w:ilvl w:val="0"/>
                <w:numId w:val="47"/>
              </w:numPr>
              <w:rPr>
                <w:sz w:val="20"/>
              </w:rPr>
            </w:pPr>
            <w:r w:rsidRPr="007F0987">
              <w:rPr>
                <w:sz w:val="20"/>
              </w:rPr>
              <w:t>Pharmacies wishing to offer the ODAP service must have their names on an approved list kept by the CCG.</w:t>
            </w:r>
          </w:p>
          <w:p w14:paraId="513801D3" w14:textId="77777777" w:rsidR="0065421C" w:rsidRPr="007F0987" w:rsidRDefault="0065421C" w:rsidP="0065421C">
            <w:pPr>
              <w:pStyle w:val="BulletNormal"/>
              <w:numPr>
                <w:ilvl w:val="0"/>
                <w:numId w:val="47"/>
              </w:numPr>
              <w:rPr>
                <w:sz w:val="20"/>
              </w:rPr>
            </w:pPr>
            <w:r w:rsidRPr="007F0987">
              <w:rPr>
                <w:sz w:val="20"/>
              </w:rPr>
              <w:t>Accredited pharmacies must at all times offer the ODAP service in accordance with the service specification.</w:t>
            </w:r>
          </w:p>
          <w:p w14:paraId="6CAAD44A" w14:textId="77777777" w:rsidR="0065421C" w:rsidRPr="007F0987" w:rsidRDefault="0065421C" w:rsidP="0065421C">
            <w:pPr>
              <w:pStyle w:val="BulletNormal"/>
              <w:numPr>
                <w:ilvl w:val="0"/>
                <w:numId w:val="47"/>
              </w:numPr>
              <w:rPr>
                <w:sz w:val="20"/>
              </w:rPr>
            </w:pPr>
            <w:r w:rsidRPr="007F0987">
              <w:rPr>
                <w:sz w:val="20"/>
              </w:rPr>
              <w:t>Locum pharmacists must be prepared to offer the ODAP service in accordance with the service specification.</w:t>
            </w:r>
          </w:p>
          <w:p w14:paraId="709F1683" w14:textId="77777777" w:rsidR="0065421C" w:rsidRPr="007F0987" w:rsidRDefault="0065421C" w:rsidP="00AA4CEE">
            <w:pPr>
              <w:spacing w:after="0"/>
              <w:rPr>
                <w:rFonts w:ascii="Arial" w:hAnsi="Arial" w:cs="Arial"/>
                <w:color w:val="00B050"/>
                <w:sz w:val="20"/>
              </w:rPr>
            </w:pPr>
          </w:p>
          <w:p w14:paraId="222F94B4" w14:textId="77777777" w:rsidR="0065421C" w:rsidRPr="007F0987" w:rsidRDefault="0065421C" w:rsidP="00AA4CEE">
            <w:pPr>
              <w:spacing w:after="0"/>
              <w:rPr>
                <w:rFonts w:ascii="Arial" w:hAnsi="Arial" w:cs="Arial"/>
                <w:color w:val="00B050"/>
                <w:sz w:val="20"/>
              </w:rPr>
            </w:pPr>
          </w:p>
          <w:p w14:paraId="166893A3" w14:textId="77777777" w:rsidR="0065421C" w:rsidRPr="00BE4DF3" w:rsidRDefault="0065421C" w:rsidP="00AA4CEE">
            <w:pPr>
              <w:spacing w:after="0"/>
              <w:rPr>
                <w:rFonts w:ascii="Arial" w:hAnsi="Arial" w:cs="Arial"/>
                <w:color w:val="00B050"/>
                <w:sz w:val="20"/>
              </w:rPr>
            </w:pPr>
          </w:p>
          <w:p w14:paraId="44F48A50" w14:textId="77777777" w:rsidR="0065421C" w:rsidRPr="00BE4DF3" w:rsidRDefault="0065421C" w:rsidP="00AA4CEE">
            <w:pPr>
              <w:spacing w:after="0"/>
              <w:rPr>
                <w:rFonts w:ascii="Arial" w:hAnsi="Arial" w:cs="Arial"/>
                <w:color w:val="00B050"/>
                <w:sz w:val="20"/>
              </w:rPr>
            </w:pPr>
          </w:p>
          <w:p w14:paraId="746AFE71" w14:textId="77777777" w:rsidR="0065421C" w:rsidRPr="00512021" w:rsidRDefault="0065421C" w:rsidP="00AA4CEE">
            <w:pPr>
              <w:spacing w:after="0"/>
              <w:rPr>
                <w:rFonts w:ascii="Arial" w:hAnsi="Arial" w:cs="Arial"/>
                <w:sz w:val="20"/>
              </w:rPr>
            </w:pPr>
          </w:p>
        </w:tc>
      </w:tr>
    </w:tbl>
    <w:p w14:paraId="4F482127" w14:textId="77777777" w:rsidR="0065421C" w:rsidRDefault="0065421C" w:rsidP="008803DD">
      <w:pPr>
        <w:spacing w:after="0"/>
        <w:rPr>
          <w:rFonts w:ascii="Arial" w:hAnsi="Arial" w:cs="Arial"/>
          <w:sz w:val="20"/>
        </w:rPr>
      </w:pPr>
    </w:p>
    <w:p w14:paraId="1B7B5998" w14:textId="40CCCA3D" w:rsidR="004B4046" w:rsidRPr="004C525B" w:rsidRDefault="0065421C" w:rsidP="005F650A">
      <w:pPr>
        <w:rPr>
          <w:rFonts w:ascii="Arial" w:hAnsi="Arial" w:cs="Arial"/>
          <w:b/>
        </w:rPr>
      </w:pPr>
      <w:r>
        <w:rPr>
          <w:rFonts w:ascii="Arial" w:hAnsi="Arial" w:cs="Arial"/>
          <w:sz w:val="20"/>
        </w:rPr>
        <w:br w:type="page"/>
      </w:r>
    </w:p>
    <w:p w14:paraId="6628D6A9" w14:textId="77777777" w:rsidR="004B4046" w:rsidRPr="00E436D2" w:rsidRDefault="004B4046" w:rsidP="008803DD">
      <w:pPr>
        <w:spacing w:after="0"/>
        <w:jc w:val="center"/>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or state Not applicable]"/>
      </w:tblPr>
      <w:tblGrid>
        <w:gridCol w:w="8194"/>
      </w:tblGrid>
      <w:tr w:rsidR="004B4046" w:rsidRPr="00331801" w14:paraId="4493BEFE" w14:textId="77777777" w:rsidTr="00C66720">
        <w:trPr>
          <w:tblHeader/>
        </w:trPr>
        <w:tc>
          <w:tcPr>
            <w:tcW w:w="8364" w:type="dxa"/>
          </w:tcPr>
          <w:p w14:paraId="47C0054F" w14:textId="77777777" w:rsidR="004B4046" w:rsidRDefault="004B4046" w:rsidP="008803DD">
            <w:pPr>
              <w:pStyle w:val="ListParagraph"/>
              <w:ind w:left="0"/>
              <w:rPr>
                <w:rFonts w:ascii="Arial" w:hAnsi="Arial" w:cs="Arial"/>
                <w:b/>
                <w:sz w:val="20"/>
                <w:szCs w:val="20"/>
              </w:rPr>
            </w:pPr>
          </w:p>
          <w:p w14:paraId="2C988177" w14:textId="77777777" w:rsidR="0065421C" w:rsidRDefault="0065421C" w:rsidP="008803DD">
            <w:pPr>
              <w:pStyle w:val="ListParagraph"/>
              <w:ind w:left="0"/>
              <w:rPr>
                <w:rFonts w:ascii="Arial" w:hAnsi="Arial" w:cs="Arial"/>
                <w:b/>
                <w:sz w:val="20"/>
                <w:szCs w:val="20"/>
              </w:rPr>
            </w:pPr>
            <w:r>
              <w:rPr>
                <w:rFonts w:ascii="Arial" w:hAnsi="Arial" w:cs="Arial"/>
                <w:b/>
                <w:sz w:val="20"/>
                <w:szCs w:val="20"/>
              </w:rPr>
              <w:t>Provider policy:</w:t>
            </w:r>
          </w:p>
          <w:p w14:paraId="71AB7CEE" w14:textId="77777777" w:rsidR="0065421C" w:rsidRDefault="0065421C" w:rsidP="008803DD">
            <w:pPr>
              <w:pStyle w:val="ListParagraph"/>
              <w:ind w:left="0"/>
              <w:rPr>
                <w:rFonts w:ascii="Arial" w:hAnsi="Arial" w:cs="Arial"/>
                <w:b/>
                <w:sz w:val="20"/>
                <w:szCs w:val="20"/>
              </w:rPr>
            </w:pPr>
          </w:p>
          <w:p w14:paraId="5AE4BA55" w14:textId="77777777" w:rsidR="0065421C" w:rsidRDefault="0065421C" w:rsidP="008803DD">
            <w:pPr>
              <w:pStyle w:val="ListParagraph"/>
              <w:ind w:left="0"/>
              <w:rPr>
                <w:rFonts w:ascii="Arial" w:hAnsi="Arial" w:cs="Arial"/>
                <w:b/>
                <w:sz w:val="20"/>
                <w:szCs w:val="20"/>
              </w:rPr>
            </w:pPr>
          </w:p>
          <w:p w14:paraId="13CD4319" w14:textId="77777777" w:rsidR="004B4046" w:rsidRPr="00331801" w:rsidRDefault="004B4046" w:rsidP="008803DD">
            <w:pPr>
              <w:pStyle w:val="ListParagraph"/>
              <w:ind w:left="0"/>
              <w:rPr>
                <w:rFonts w:ascii="Arial" w:hAnsi="Arial" w:cs="Arial"/>
                <w:b/>
                <w:sz w:val="20"/>
                <w:szCs w:val="20"/>
              </w:rPr>
            </w:pPr>
          </w:p>
        </w:tc>
      </w:tr>
    </w:tbl>
    <w:p w14:paraId="7312F6DA" w14:textId="77777777" w:rsidR="004C525B" w:rsidRDefault="004C525B" w:rsidP="008803DD">
      <w:pPr>
        <w:spacing w:after="0"/>
        <w:ind w:left="567" w:hanging="567"/>
        <w:rPr>
          <w:rFonts w:ascii="Arial" w:hAnsi="Arial" w:cs="Arial"/>
          <w:b/>
          <w:sz w:val="20"/>
        </w:rPr>
      </w:pPr>
    </w:p>
    <w:p w14:paraId="39950E92" w14:textId="77777777" w:rsidR="008803DD" w:rsidRPr="008803DD" w:rsidRDefault="008803DD" w:rsidP="008803DD">
      <w:pPr>
        <w:spacing w:after="0"/>
        <w:ind w:left="567" w:hanging="567"/>
        <w:rPr>
          <w:rFonts w:ascii="Arial" w:hAnsi="Arial" w:cs="Arial"/>
          <w:b/>
          <w:sz w:val="20"/>
        </w:rPr>
      </w:pPr>
    </w:p>
    <w:p w14:paraId="265CB6CE" w14:textId="77777777" w:rsidR="004B4046" w:rsidRPr="004C525B" w:rsidRDefault="004B4046" w:rsidP="008803DD">
      <w:pPr>
        <w:pStyle w:val="ListParagraph"/>
        <w:numPr>
          <w:ilvl w:val="0"/>
          <w:numId w:val="34"/>
        </w:numPr>
        <w:ind w:left="567" w:hanging="567"/>
        <w:contextualSpacing/>
        <w:jc w:val="center"/>
        <w:outlineLvl w:val="1"/>
        <w:rPr>
          <w:rFonts w:ascii="Arial" w:hAnsi="Arial" w:cs="Arial"/>
          <w:b/>
        </w:rPr>
      </w:pPr>
      <w:r w:rsidRPr="004C525B">
        <w:rPr>
          <w:rFonts w:ascii="Arial" w:hAnsi="Arial" w:cs="Arial"/>
          <w:b/>
        </w:rPr>
        <w:t>Safeguarding Policies and Mental Capacity Act Policies</w:t>
      </w:r>
    </w:p>
    <w:p w14:paraId="4DDDC66A" w14:textId="77777777" w:rsidR="004B4046" w:rsidRPr="00E436D2" w:rsidRDefault="004B4046" w:rsidP="008803DD">
      <w:pPr>
        <w:spacing w:after="0"/>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194"/>
      </w:tblGrid>
      <w:tr w:rsidR="004B4046" w:rsidRPr="00331801" w14:paraId="554A089E" w14:textId="77777777" w:rsidTr="00C66720">
        <w:trPr>
          <w:tblHeader/>
        </w:trPr>
        <w:tc>
          <w:tcPr>
            <w:tcW w:w="8364" w:type="dxa"/>
          </w:tcPr>
          <w:p w14:paraId="5011B895" w14:textId="77777777" w:rsidR="0065421C" w:rsidRDefault="0065421C" w:rsidP="0065421C">
            <w:pPr>
              <w:rPr>
                <w:rFonts w:ascii="Arial" w:hAnsi="Arial" w:cs="Arial"/>
                <w:sz w:val="20"/>
              </w:rPr>
            </w:pPr>
          </w:p>
          <w:p w14:paraId="52E3116E" w14:textId="77777777" w:rsidR="004B4046" w:rsidRPr="0065421C" w:rsidRDefault="0065421C" w:rsidP="0065421C">
            <w:pPr>
              <w:rPr>
                <w:rFonts w:ascii="Arial" w:hAnsi="Arial" w:cs="Arial"/>
                <w:b/>
                <w:sz w:val="20"/>
              </w:rPr>
            </w:pPr>
            <w:r w:rsidRPr="0065421C">
              <w:rPr>
                <w:rFonts w:ascii="Arial" w:hAnsi="Arial" w:cs="Arial"/>
                <w:b/>
                <w:sz w:val="20"/>
              </w:rPr>
              <w:t>Provider policy:</w:t>
            </w:r>
          </w:p>
          <w:p w14:paraId="6C2098FA" w14:textId="77777777" w:rsidR="004B4046" w:rsidRDefault="004B4046" w:rsidP="008803DD">
            <w:pPr>
              <w:jc w:val="both"/>
              <w:rPr>
                <w:rFonts w:ascii="Arial" w:hAnsi="Arial" w:cs="Arial"/>
                <w:sz w:val="20"/>
              </w:rPr>
            </w:pPr>
          </w:p>
          <w:p w14:paraId="39999DDD" w14:textId="77777777" w:rsidR="004B4046" w:rsidRPr="00331801" w:rsidRDefault="004B4046" w:rsidP="008803DD">
            <w:pPr>
              <w:pStyle w:val="ListParagraph"/>
              <w:ind w:left="0"/>
              <w:rPr>
                <w:rFonts w:ascii="Arial" w:hAnsi="Arial" w:cs="Arial"/>
                <w:b/>
                <w:sz w:val="20"/>
                <w:szCs w:val="20"/>
              </w:rPr>
            </w:pPr>
          </w:p>
        </w:tc>
      </w:tr>
    </w:tbl>
    <w:p w14:paraId="14396D5E" w14:textId="77777777" w:rsidR="004B4046" w:rsidRDefault="004B4046">
      <w:pPr>
        <w:rPr>
          <w:rFonts w:ascii="Times New Roman" w:eastAsia="Times New Roman" w:hAnsi="Times New Roman" w:cs="Times New Roman"/>
          <w:szCs w:val="24"/>
          <w:lang w:val="en-GB" w:eastAsia="en-GB"/>
        </w:rPr>
      </w:pPr>
      <w:r>
        <w:br w:type="page"/>
      </w:r>
    </w:p>
    <w:p w14:paraId="4AB233D1" w14:textId="77777777" w:rsidR="0002254A" w:rsidRPr="007313D8" w:rsidRDefault="0002254A">
      <w:pPr>
        <w:spacing w:after="0"/>
        <w:rPr>
          <w:rFonts w:ascii="Arial" w:hAnsi="Arial" w:cs="Arial"/>
          <w:sz w:val="20"/>
        </w:rPr>
      </w:pPr>
    </w:p>
    <w:tbl>
      <w:tblPr>
        <w:tblStyle w:val="TableGrid"/>
        <w:tblW w:w="0" w:type="auto"/>
        <w:tblLook w:val="04A0" w:firstRow="1" w:lastRow="0" w:firstColumn="1" w:lastColumn="0" w:noHBand="0" w:noVBand="1"/>
        <w:tblDescription w:val="Insert template in respect of any departure from an applicable national currency; insert text and/or attach spreadsheets or documents locally "/>
      </w:tblPr>
      <w:tblGrid>
        <w:gridCol w:w="8302"/>
      </w:tblGrid>
      <w:tr w:rsidR="0002254A" w:rsidRPr="007313D8" w14:paraId="4DF3334F" w14:textId="77777777" w:rsidTr="0065421C">
        <w:trPr>
          <w:trHeight w:val="1639"/>
        </w:trPr>
        <w:tc>
          <w:tcPr>
            <w:tcW w:w="9242" w:type="dxa"/>
          </w:tcPr>
          <w:p w14:paraId="7094219F" w14:textId="403553F1" w:rsidR="0065421C" w:rsidRDefault="0065421C" w:rsidP="005F650A">
            <w:pPr>
              <w:spacing w:before="120"/>
              <w:rPr>
                <w:rFonts w:ascii="Arial" w:eastAsiaTheme="minorEastAsia" w:hAnsi="Arial" w:cs="Arial"/>
                <w:sz w:val="20"/>
                <w:lang w:eastAsia="ja-JP"/>
              </w:rPr>
            </w:pPr>
          </w:p>
          <w:p w14:paraId="7DDAC559" w14:textId="77777777" w:rsidR="0065421C" w:rsidRPr="00410E53" w:rsidRDefault="0065421C" w:rsidP="0065421C">
            <w:pPr>
              <w:spacing w:before="120"/>
              <w:rPr>
                <w:rFonts w:ascii="Arial" w:hAnsi="Arial" w:cs="Arial"/>
                <w:b/>
                <w:szCs w:val="24"/>
              </w:rPr>
            </w:pPr>
            <w:r w:rsidRPr="00410E53">
              <w:rPr>
                <w:rFonts w:ascii="Arial" w:hAnsi="Arial" w:cs="Arial"/>
                <w:b/>
                <w:szCs w:val="24"/>
              </w:rPr>
              <w:t>On Demand Availability of Palliative Care Medicines</w:t>
            </w:r>
          </w:p>
          <w:p w14:paraId="4CD1D973" w14:textId="77777777" w:rsidR="0065421C" w:rsidRPr="00E21795" w:rsidRDefault="0065421C" w:rsidP="0065421C">
            <w:pPr>
              <w:pStyle w:val="NormOut1"/>
              <w:tabs>
                <w:tab w:val="clear" w:pos="425"/>
              </w:tabs>
              <w:spacing w:line="360" w:lineRule="auto"/>
              <w:ind w:left="0" w:firstLine="0"/>
              <w:rPr>
                <w:sz w:val="20"/>
                <w:szCs w:val="20"/>
              </w:rPr>
            </w:pPr>
            <w:r w:rsidRPr="00E21795">
              <w:rPr>
                <w:sz w:val="20"/>
                <w:szCs w:val="20"/>
              </w:rPr>
              <w:t>Service Funding and Payment Mechanism</w:t>
            </w:r>
          </w:p>
          <w:p w14:paraId="298FDCD5" w14:textId="77777777" w:rsidR="0065421C" w:rsidRPr="007977EB" w:rsidRDefault="0065421C" w:rsidP="0065421C">
            <w:pPr>
              <w:pStyle w:val="NormOut"/>
              <w:numPr>
                <w:ilvl w:val="0"/>
                <w:numId w:val="0"/>
              </w:numPr>
              <w:spacing w:before="0" w:line="360" w:lineRule="auto"/>
              <w:rPr>
                <w:szCs w:val="22"/>
              </w:rPr>
            </w:pPr>
            <w:r w:rsidRPr="007977EB">
              <w:rPr>
                <w:szCs w:val="22"/>
              </w:rPr>
              <w:t>Payment to Participating Pharmacies</w:t>
            </w:r>
          </w:p>
          <w:p w14:paraId="0F1798DF" w14:textId="77777777" w:rsidR="0065421C" w:rsidRPr="00410E53" w:rsidRDefault="0065421C" w:rsidP="0065421C">
            <w:pPr>
              <w:pStyle w:val="NormPlus"/>
              <w:numPr>
                <w:ilvl w:val="0"/>
                <w:numId w:val="50"/>
              </w:numPr>
              <w:spacing w:before="0" w:line="360" w:lineRule="auto"/>
              <w:rPr>
                <w:sz w:val="20"/>
                <w:szCs w:val="20"/>
              </w:rPr>
            </w:pPr>
            <w:r w:rsidRPr="00410E53">
              <w:rPr>
                <w:sz w:val="20"/>
                <w:szCs w:val="20"/>
              </w:rPr>
              <w:t>The accredited pharmacy may claim an annual retention fee of £400. Claim forms should be submitted to the CCG annually.</w:t>
            </w:r>
          </w:p>
          <w:p w14:paraId="17504D0D" w14:textId="77777777" w:rsidR="0065421C" w:rsidRPr="00410E53" w:rsidRDefault="0065421C" w:rsidP="0065421C">
            <w:pPr>
              <w:pStyle w:val="NormPlus"/>
              <w:numPr>
                <w:ilvl w:val="0"/>
                <w:numId w:val="50"/>
              </w:numPr>
              <w:spacing w:before="0" w:line="360" w:lineRule="auto"/>
              <w:rPr>
                <w:sz w:val="20"/>
                <w:szCs w:val="20"/>
              </w:rPr>
            </w:pPr>
            <w:r w:rsidRPr="00410E53">
              <w:rPr>
                <w:sz w:val="20"/>
                <w:szCs w:val="20"/>
              </w:rPr>
              <w:t>It is the responsibility of the pharmacy to ensure appropriate VAT returns are made.</w:t>
            </w:r>
          </w:p>
          <w:p w14:paraId="7EA89B60" w14:textId="77777777" w:rsidR="0065421C" w:rsidRPr="00410E53" w:rsidRDefault="0065421C" w:rsidP="0065421C">
            <w:pPr>
              <w:pStyle w:val="NormPlus"/>
              <w:numPr>
                <w:ilvl w:val="0"/>
                <w:numId w:val="50"/>
              </w:numPr>
              <w:spacing w:before="0" w:line="360" w:lineRule="auto"/>
              <w:rPr>
                <w:sz w:val="20"/>
                <w:szCs w:val="20"/>
              </w:rPr>
            </w:pPr>
            <w:r w:rsidRPr="00410E53">
              <w:rPr>
                <w:sz w:val="20"/>
                <w:szCs w:val="20"/>
              </w:rPr>
              <w:t>Expired medicines held under the scheme will be reimbur</w:t>
            </w:r>
            <w:bookmarkStart w:id="0" w:name="_GoBack"/>
            <w:bookmarkEnd w:id="0"/>
            <w:r w:rsidRPr="00410E53">
              <w:rPr>
                <w:sz w:val="20"/>
                <w:szCs w:val="20"/>
              </w:rPr>
              <w:t>sed at the latest Drug Tariff price. Contractors should submit an invoice to the CCG for payment based on the template in Appendix B.</w:t>
            </w:r>
          </w:p>
          <w:p w14:paraId="255D9FCC" w14:textId="77777777" w:rsidR="0065421C" w:rsidRPr="00410E53" w:rsidRDefault="0065421C" w:rsidP="0065421C">
            <w:pPr>
              <w:pStyle w:val="NormPlus"/>
              <w:numPr>
                <w:ilvl w:val="0"/>
                <w:numId w:val="50"/>
              </w:numPr>
              <w:spacing w:before="0" w:line="360" w:lineRule="auto"/>
              <w:rPr>
                <w:sz w:val="20"/>
                <w:szCs w:val="20"/>
              </w:rPr>
            </w:pPr>
            <w:r w:rsidRPr="00410E53">
              <w:rPr>
                <w:sz w:val="20"/>
                <w:szCs w:val="20"/>
              </w:rPr>
              <w:t>Please insert the St Helens CCG name and organisational code in the “invoice to” section:</w:t>
            </w:r>
          </w:p>
          <w:p w14:paraId="13C81A92" w14:textId="77777777" w:rsidR="0065421C" w:rsidRPr="00410E53" w:rsidRDefault="0065421C" w:rsidP="0065421C">
            <w:pPr>
              <w:pStyle w:val="NormPlus"/>
              <w:numPr>
                <w:ilvl w:val="0"/>
                <w:numId w:val="0"/>
              </w:numPr>
              <w:spacing w:before="0" w:line="360" w:lineRule="auto"/>
              <w:ind w:left="720"/>
              <w:rPr>
                <w:b/>
                <w:sz w:val="20"/>
                <w:szCs w:val="20"/>
              </w:rPr>
            </w:pPr>
            <w:r w:rsidRPr="00410E53">
              <w:rPr>
                <w:b/>
                <w:sz w:val="20"/>
                <w:szCs w:val="20"/>
              </w:rPr>
              <w:t>NHS St Helens CCG, 01X Payables L475, Phoenix House, Topcliffe Lane, Wakefield, WF3 1WE</w:t>
            </w:r>
          </w:p>
          <w:p w14:paraId="7EB0151F" w14:textId="77777777" w:rsidR="0065421C" w:rsidRDefault="0065421C" w:rsidP="0065421C">
            <w:pPr>
              <w:pStyle w:val="NormPlus"/>
              <w:numPr>
                <w:ilvl w:val="1"/>
                <w:numId w:val="49"/>
              </w:numPr>
              <w:spacing w:before="0" w:line="360" w:lineRule="auto"/>
              <w:rPr>
                <w:sz w:val="20"/>
                <w:szCs w:val="20"/>
              </w:rPr>
            </w:pPr>
            <w:r w:rsidRPr="00410E53">
              <w:rPr>
                <w:sz w:val="20"/>
                <w:szCs w:val="20"/>
              </w:rPr>
              <w:t>Completed claim forms should be returned to</w:t>
            </w:r>
          </w:p>
          <w:p w14:paraId="44274E68" w14:textId="77777777" w:rsidR="0065421C" w:rsidRDefault="0065421C" w:rsidP="0065421C">
            <w:pPr>
              <w:pStyle w:val="NormPlus"/>
              <w:numPr>
                <w:ilvl w:val="0"/>
                <w:numId w:val="0"/>
              </w:numPr>
              <w:spacing w:before="0" w:line="360" w:lineRule="auto"/>
              <w:ind w:left="788" w:hanging="431"/>
              <w:rPr>
                <w:rFonts w:cs="Arial"/>
                <w:b/>
                <w:sz w:val="20"/>
                <w:szCs w:val="20"/>
              </w:rPr>
            </w:pPr>
            <w:r w:rsidRPr="005E0359">
              <w:rPr>
                <w:rFonts w:cs="Arial"/>
                <w:b/>
                <w:sz w:val="20"/>
                <w:szCs w:val="20"/>
              </w:rPr>
              <w:t>Nicola Cartwright</w:t>
            </w:r>
          </w:p>
          <w:p w14:paraId="32F7C745" w14:textId="77777777" w:rsidR="0065421C" w:rsidRPr="003C5E4B" w:rsidRDefault="0065421C" w:rsidP="0065421C">
            <w:pPr>
              <w:pStyle w:val="NormPlus"/>
              <w:numPr>
                <w:ilvl w:val="0"/>
                <w:numId w:val="0"/>
              </w:numPr>
              <w:spacing w:before="0" w:line="360" w:lineRule="auto"/>
              <w:ind w:left="788" w:hanging="431"/>
              <w:rPr>
                <w:sz w:val="20"/>
                <w:szCs w:val="20"/>
              </w:rPr>
            </w:pPr>
            <w:r>
              <w:rPr>
                <w:rFonts w:cs="Arial"/>
                <w:b/>
                <w:sz w:val="20"/>
                <w:szCs w:val="20"/>
              </w:rPr>
              <w:t xml:space="preserve">NHS </w:t>
            </w:r>
            <w:r w:rsidRPr="00410E53">
              <w:rPr>
                <w:rFonts w:cs="Arial"/>
                <w:b/>
                <w:sz w:val="20"/>
                <w:szCs w:val="20"/>
              </w:rPr>
              <w:t>St Hele</w:t>
            </w:r>
            <w:r>
              <w:rPr>
                <w:rFonts w:cs="Arial"/>
                <w:b/>
                <w:sz w:val="20"/>
                <w:szCs w:val="20"/>
              </w:rPr>
              <w:t>ns CCG Medicines Management Team</w:t>
            </w:r>
          </w:p>
          <w:p w14:paraId="66A47396" w14:textId="77777777" w:rsidR="0002254A" w:rsidRPr="007313D8" w:rsidRDefault="0002254A" w:rsidP="009605FF">
            <w:pPr>
              <w:spacing w:before="120"/>
              <w:jc w:val="center"/>
              <w:rPr>
                <w:rFonts w:ascii="Arial" w:hAnsi="Arial" w:cs="Arial"/>
                <w:b/>
                <w:sz w:val="20"/>
              </w:rPr>
            </w:pPr>
          </w:p>
        </w:tc>
      </w:tr>
    </w:tbl>
    <w:p w14:paraId="0604342C" w14:textId="77777777" w:rsidR="0002254A" w:rsidRDefault="0002254A" w:rsidP="00A73467">
      <w:pPr>
        <w:pStyle w:val="ListParagraph"/>
        <w:ind w:left="0"/>
        <w:jc w:val="center"/>
        <w:rPr>
          <w:rFonts w:ascii="Arial" w:hAnsi="Arial" w:cs="Arial"/>
          <w:b/>
          <w:sz w:val="20"/>
          <w:szCs w:val="20"/>
        </w:rPr>
      </w:pPr>
    </w:p>
    <w:p w14:paraId="6A52209F" w14:textId="77777777" w:rsidR="005F41B2" w:rsidRPr="008803DD" w:rsidRDefault="005F41B2" w:rsidP="00A73467">
      <w:pPr>
        <w:pStyle w:val="ListParagraph"/>
        <w:ind w:left="0"/>
        <w:jc w:val="center"/>
        <w:rPr>
          <w:rFonts w:ascii="Arial" w:hAnsi="Arial" w:cs="Arial"/>
          <w:b/>
          <w:sz w:val="20"/>
          <w:szCs w:val="20"/>
        </w:rPr>
      </w:pPr>
    </w:p>
    <w:sectPr w:rsidR="005F41B2" w:rsidRPr="008803DD" w:rsidSect="005F650A">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56F7A" w14:textId="77777777" w:rsidR="00882A64" w:rsidRDefault="00882A64" w:rsidP="00674BEC">
      <w:pPr>
        <w:spacing w:after="0"/>
      </w:pPr>
      <w:r>
        <w:separator/>
      </w:r>
    </w:p>
  </w:endnote>
  <w:endnote w:type="continuationSeparator" w:id="0">
    <w:p w14:paraId="7280915F" w14:textId="77777777" w:rsidR="00882A64" w:rsidRDefault="00882A64"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yntax">
    <w:altName w:val="Cambria"/>
    <w:panose1 w:val="020B0604020202020204"/>
    <w:charset w:val="00"/>
    <w:family w:val="auto"/>
    <w:notTrueType/>
    <w:pitch w:val="variable"/>
    <w:sig w:usb0="00000003" w:usb1="00000000" w:usb2="00000000" w:usb3="00000000" w:csb0="00000001" w:csb1="00000000"/>
  </w:font>
  <w:font w:name="MS ??">
    <w:altName w:val="MS Gothic"/>
    <w:panose1 w:val="020B0604020202020204"/>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2A8AC" w14:textId="77777777" w:rsidR="00882A64" w:rsidRDefault="00882A64" w:rsidP="00674BEC">
      <w:pPr>
        <w:spacing w:after="0"/>
      </w:pPr>
      <w:r>
        <w:separator/>
      </w:r>
    </w:p>
  </w:footnote>
  <w:footnote w:type="continuationSeparator" w:id="0">
    <w:p w14:paraId="5EF7B7EC" w14:textId="77777777" w:rsidR="00882A64" w:rsidRDefault="00882A64" w:rsidP="00674BE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102"/>
    <w:multiLevelType w:val="hybridMultilevel"/>
    <w:tmpl w:val="3E4AF9F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C0126A"/>
    <w:multiLevelType w:val="multilevel"/>
    <w:tmpl w:val="46A6BF62"/>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 w15:restartNumberingAfterBreak="0">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C57322"/>
    <w:multiLevelType w:val="hybridMultilevel"/>
    <w:tmpl w:val="95F0A25C"/>
    <w:lvl w:ilvl="0" w:tplc="1480C37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7" w15:restartNumberingAfterBreak="0">
    <w:nsid w:val="0A93603F"/>
    <w:multiLevelType w:val="hybridMultilevel"/>
    <w:tmpl w:val="A23A2BC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15:restartNumberingAfterBreak="0">
    <w:nsid w:val="0D331856"/>
    <w:multiLevelType w:val="hybridMultilevel"/>
    <w:tmpl w:val="89C4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2" w15:restartNumberingAfterBreak="0">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997CED"/>
    <w:multiLevelType w:val="hybridMultilevel"/>
    <w:tmpl w:val="A7E2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C614D9"/>
    <w:multiLevelType w:val="hybridMultilevel"/>
    <w:tmpl w:val="0F1AA202"/>
    <w:lvl w:ilvl="0" w:tplc="A5FEA804">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CE6A16"/>
    <w:multiLevelType w:val="hybridMultilevel"/>
    <w:tmpl w:val="B1CA3200"/>
    <w:lvl w:ilvl="0" w:tplc="88E2D4A0">
      <w:start w:val="1"/>
      <w:numFmt w:val="decimal"/>
      <w:lvlText w:val="%1."/>
      <w:lvlJc w:val="left"/>
      <w:pPr>
        <w:ind w:left="1080" w:hanging="72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255FAA"/>
    <w:multiLevelType w:val="hybridMultilevel"/>
    <w:tmpl w:val="73DEA4D2"/>
    <w:lvl w:ilvl="0" w:tplc="48AAFEC4">
      <w:start w:val="3"/>
      <w:numFmt w:val="upperLetter"/>
      <w:lvlText w:val="%1."/>
      <w:lvlJc w:val="left"/>
      <w:pPr>
        <w:ind w:left="5398"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2" w15:restartNumberingAfterBreak="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F519B2"/>
    <w:multiLevelType w:val="hybridMultilevel"/>
    <w:tmpl w:val="DBE8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5D0EEC"/>
    <w:multiLevelType w:val="hybridMultilevel"/>
    <w:tmpl w:val="596E6E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CDB614F"/>
    <w:multiLevelType w:val="multilevel"/>
    <w:tmpl w:val="45AC34CA"/>
    <w:lvl w:ilvl="0">
      <w:start w:val="1"/>
      <w:numFmt w:val="decimal"/>
      <w:pStyle w:val="BulletH1"/>
      <w:lvlText w:val="%1."/>
      <w:lvlJc w:val="left"/>
      <w:pPr>
        <w:tabs>
          <w:tab w:val="num" w:pos="360"/>
        </w:tabs>
        <w:ind w:left="360" w:hanging="360"/>
      </w:pPr>
      <w:rPr>
        <w:rFonts w:hint="default"/>
      </w:rPr>
    </w:lvl>
    <w:lvl w:ilvl="1">
      <w:start w:val="1"/>
      <w:numFmt w:val="decimal"/>
      <w:pStyle w:val="BulletNormal"/>
      <w:lvlText w:val="%1.%2."/>
      <w:lvlJc w:val="left"/>
      <w:pPr>
        <w:tabs>
          <w:tab w:val="num" w:pos="792"/>
        </w:tabs>
        <w:ind w:left="792" w:hanging="432"/>
      </w:pPr>
      <w:rPr>
        <w:rFonts w:hint="default"/>
      </w:rPr>
    </w:lvl>
    <w:lvl w:ilvl="2">
      <w:start w:val="1"/>
      <w:numFmt w:val="decimal"/>
      <w:pStyle w:val="BullIndent"/>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9" w15:restartNumberingAfterBreak="0">
    <w:nsid w:val="42EC0B21"/>
    <w:multiLevelType w:val="hybridMultilevel"/>
    <w:tmpl w:val="B87297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F07913"/>
    <w:multiLevelType w:val="hybridMultilevel"/>
    <w:tmpl w:val="71622BD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CFA64EB"/>
    <w:multiLevelType w:val="multilevel"/>
    <w:tmpl w:val="422E739E"/>
    <w:lvl w:ilvl="0">
      <w:start w:val="1"/>
      <w:numFmt w:val="decimal"/>
      <w:pStyle w:val="NormOut"/>
      <w:lvlText w:val="%1."/>
      <w:lvlJc w:val="left"/>
      <w:pPr>
        <w:tabs>
          <w:tab w:val="num" w:pos="425"/>
        </w:tabs>
        <w:ind w:left="567" w:hanging="567"/>
      </w:pPr>
      <w:rPr>
        <w:rFonts w:hint="default"/>
      </w:rPr>
    </w:lvl>
    <w:lvl w:ilvl="1">
      <w:start w:val="1"/>
      <w:numFmt w:val="decimal"/>
      <w:pStyle w:val="NormPlus"/>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ascii="Arial" w:hAnsi="Arial" w:hint="default"/>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DB0A9D"/>
    <w:multiLevelType w:val="hybridMultilevel"/>
    <w:tmpl w:val="060091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8"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7060A6"/>
    <w:multiLevelType w:val="hybridMultilevel"/>
    <w:tmpl w:val="101C4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A8912A8"/>
    <w:multiLevelType w:val="hybridMultilevel"/>
    <w:tmpl w:val="B180FC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7279FB"/>
    <w:multiLevelType w:val="hybridMultilevel"/>
    <w:tmpl w:val="92D812F2"/>
    <w:lvl w:ilvl="0" w:tplc="13AAE2A8">
      <w:start w:val="6"/>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46" w15:restartNumberingAfterBreak="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0941FD"/>
    <w:multiLevelType w:val="hybridMultilevel"/>
    <w:tmpl w:val="2154195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294813"/>
    <w:multiLevelType w:val="hybridMultilevel"/>
    <w:tmpl w:val="0F3A73EC"/>
    <w:lvl w:ilvl="0" w:tplc="BA68C0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E8873F7"/>
    <w:multiLevelType w:val="multilevel"/>
    <w:tmpl w:val="E500C438"/>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b w:val="0"/>
        <w:sz w:val="20"/>
        <w:szCs w:val="20"/>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num w:numId="1">
    <w:abstractNumId w:val="38"/>
  </w:num>
  <w:num w:numId="2">
    <w:abstractNumId w:val="2"/>
  </w:num>
  <w:num w:numId="3">
    <w:abstractNumId w:val="24"/>
  </w:num>
  <w:num w:numId="4">
    <w:abstractNumId w:val="43"/>
  </w:num>
  <w:num w:numId="5">
    <w:abstractNumId w:val="12"/>
  </w:num>
  <w:num w:numId="6">
    <w:abstractNumId w:val="14"/>
  </w:num>
  <w:num w:numId="7">
    <w:abstractNumId w:val="6"/>
  </w:num>
  <w:num w:numId="8">
    <w:abstractNumId w:val="11"/>
  </w:num>
  <w:num w:numId="9">
    <w:abstractNumId w:val="13"/>
  </w:num>
  <w:num w:numId="10">
    <w:abstractNumId w:val="28"/>
  </w:num>
  <w:num w:numId="11">
    <w:abstractNumId w:val="9"/>
  </w:num>
  <w:num w:numId="12">
    <w:abstractNumId w:val="18"/>
  </w:num>
  <w:num w:numId="13">
    <w:abstractNumId w:val="37"/>
  </w:num>
  <w:num w:numId="14">
    <w:abstractNumId w:val="48"/>
  </w:num>
  <w:num w:numId="15">
    <w:abstractNumId w:val="47"/>
  </w:num>
  <w:num w:numId="16">
    <w:abstractNumId w:val="17"/>
  </w:num>
  <w:num w:numId="17">
    <w:abstractNumId w:val="7"/>
  </w:num>
  <w:num w:numId="18">
    <w:abstractNumId w:val="29"/>
  </w:num>
  <w:num w:numId="19">
    <w:abstractNumId w:val="32"/>
  </w:num>
  <w:num w:numId="20">
    <w:abstractNumId w:val="23"/>
  </w:num>
  <w:num w:numId="21">
    <w:abstractNumId w:val="49"/>
  </w:num>
  <w:num w:numId="22">
    <w:abstractNumId w:val="4"/>
  </w:num>
  <w:num w:numId="23">
    <w:abstractNumId w:val="36"/>
  </w:num>
  <w:num w:numId="24">
    <w:abstractNumId w:val="8"/>
  </w:num>
  <w:num w:numId="25">
    <w:abstractNumId w:val="21"/>
  </w:num>
  <w:num w:numId="26">
    <w:abstractNumId w:val="1"/>
  </w:num>
  <w:num w:numId="27">
    <w:abstractNumId w:val="46"/>
  </w:num>
  <w:num w:numId="28">
    <w:abstractNumId w:val="41"/>
  </w:num>
  <w:num w:numId="29">
    <w:abstractNumId w:val="44"/>
  </w:num>
  <w:num w:numId="30">
    <w:abstractNumId w:val="35"/>
  </w:num>
  <w:num w:numId="31">
    <w:abstractNumId w:val="0"/>
  </w:num>
  <w:num w:numId="32">
    <w:abstractNumId w:val="33"/>
  </w:num>
  <w:num w:numId="33">
    <w:abstractNumId w:val="3"/>
  </w:num>
  <w:num w:numId="34">
    <w:abstractNumId w:val="5"/>
  </w:num>
  <w:num w:numId="35">
    <w:abstractNumId w:val="42"/>
  </w:num>
  <w:num w:numId="36">
    <w:abstractNumId w:val="45"/>
  </w:num>
  <w:num w:numId="37">
    <w:abstractNumId w:val="19"/>
  </w:num>
  <w:num w:numId="38">
    <w:abstractNumId w:val="20"/>
  </w:num>
  <w:num w:numId="39">
    <w:abstractNumId w:val="16"/>
  </w:num>
  <w:num w:numId="40">
    <w:abstractNumId w:val="30"/>
  </w:num>
  <w:num w:numId="41">
    <w:abstractNumId w:val="31"/>
  </w:num>
  <w:num w:numId="42">
    <w:abstractNumId w:val="22"/>
  </w:num>
  <w:num w:numId="43">
    <w:abstractNumId w:val="25"/>
  </w:num>
  <w:num w:numId="44">
    <w:abstractNumId w:val="10"/>
  </w:num>
  <w:num w:numId="45">
    <w:abstractNumId w:val="27"/>
  </w:num>
  <w:num w:numId="46">
    <w:abstractNumId w:val="34"/>
  </w:num>
  <w:num w:numId="47">
    <w:abstractNumId w:val="26"/>
  </w:num>
  <w:num w:numId="48">
    <w:abstractNumId w:val="15"/>
  </w:num>
  <w:num w:numId="49">
    <w:abstractNumId w:val="40"/>
  </w:num>
  <w:num w:numId="50">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10CB9"/>
    <w:rsid w:val="00012257"/>
    <w:rsid w:val="0001473F"/>
    <w:rsid w:val="0002254A"/>
    <w:rsid w:val="00042282"/>
    <w:rsid w:val="0004407B"/>
    <w:rsid w:val="00046225"/>
    <w:rsid w:val="000541C6"/>
    <w:rsid w:val="00056F52"/>
    <w:rsid w:val="0006130A"/>
    <w:rsid w:val="00071F03"/>
    <w:rsid w:val="000734EE"/>
    <w:rsid w:val="000824CA"/>
    <w:rsid w:val="000939B9"/>
    <w:rsid w:val="000961D3"/>
    <w:rsid w:val="000A2CF2"/>
    <w:rsid w:val="000A3DB5"/>
    <w:rsid w:val="000A4638"/>
    <w:rsid w:val="000A5766"/>
    <w:rsid w:val="000B328E"/>
    <w:rsid w:val="000B66F1"/>
    <w:rsid w:val="000B6AF5"/>
    <w:rsid w:val="000D0BB4"/>
    <w:rsid w:val="000D2E92"/>
    <w:rsid w:val="000E1364"/>
    <w:rsid w:val="000E5E4F"/>
    <w:rsid w:val="000F1928"/>
    <w:rsid w:val="000F4A2E"/>
    <w:rsid w:val="0010025C"/>
    <w:rsid w:val="00114810"/>
    <w:rsid w:val="00117915"/>
    <w:rsid w:val="001210BA"/>
    <w:rsid w:val="00131A1F"/>
    <w:rsid w:val="001335A7"/>
    <w:rsid w:val="00134C16"/>
    <w:rsid w:val="001370B9"/>
    <w:rsid w:val="00137789"/>
    <w:rsid w:val="001422A8"/>
    <w:rsid w:val="0014314D"/>
    <w:rsid w:val="001466BD"/>
    <w:rsid w:val="00146EA7"/>
    <w:rsid w:val="00156E33"/>
    <w:rsid w:val="00164137"/>
    <w:rsid w:val="00164E47"/>
    <w:rsid w:val="001760F8"/>
    <w:rsid w:val="001774B7"/>
    <w:rsid w:val="00183369"/>
    <w:rsid w:val="00187481"/>
    <w:rsid w:val="00187EA3"/>
    <w:rsid w:val="00191DE2"/>
    <w:rsid w:val="00194E19"/>
    <w:rsid w:val="00195267"/>
    <w:rsid w:val="001A1B78"/>
    <w:rsid w:val="001A1FE3"/>
    <w:rsid w:val="001A2493"/>
    <w:rsid w:val="001A4AA8"/>
    <w:rsid w:val="001B1642"/>
    <w:rsid w:val="001C00D7"/>
    <w:rsid w:val="001C2C32"/>
    <w:rsid w:val="001C52D9"/>
    <w:rsid w:val="001C6321"/>
    <w:rsid w:val="001D0C60"/>
    <w:rsid w:val="001D3FD6"/>
    <w:rsid w:val="001E0CA5"/>
    <w:rsid w:val="001F2726"/>
    <w:rsid w:val="001F38EB"/>
    <w:rsid w:val="00202AE4"/>
    <w:rsid w:val="00204766"/>
    <w:rsid w:val="00205F96"/>
    <w:rsid w:val="00227841"/>
    <w:rsid w:val="002278CF"/>
    <w:rsid w:val="00230D91"/>
    <w:rsid w:val="00231121"/>
    <w:rsid w:val="002336D6"/>
    <w:rsid w:val="00235A6F"/>
    <w:rsid w:val="002403E6"/>
    <w:rsid w:val="00242143"/>
    <w:rsid w:val="00262E5D"/>
    <w:rsid w:val="00264D2A"/>
    <w:rsid w:val="002651FC"/>
    <w:rsid w:val="00265899"/>
    <w:rsid w:val="00265D39"/>
    <w:rsid w:val="00273AED"/>
    <w:rsid w:val="00285FA8"/>
    <w:rsid w:val="00292D85"/>
    <w:rsid w:val="00293DFC"/>
    <w:rsid w:val="0029667F"/>
    <w:rsid w:val="0029688E"/>
    <w:rsid w:val="002A2F6A"/>
    <w:rsid w:val="002A3B6B"/>
    <w:rsid w:val="002A3D88"/>
    <w:rsid w:val="002A4245"/>
    <w:rsid w:val="002A6A86"/>
    <w:rsid w:val="002A77FE"/>
    <w:rsid w:val="002B096B"/>
    <w:rsid w:val="002B2787"/>
    <w:rsid w:val="002B2AF4"/>
    <w:rsid w:val="002C08D6"/>
    <w:rsid w:val="002C0C12"/>
    <w:rsid w:val="002C503C"/>
    <w:rsid w:val="002C6541"/>
    <w:rsid w:val="002C7D95"/>
    <w:rsid w:val="002D0249"/>
    <w:rsid w:val="002D4D21"/>
    <w:rsid w:val="002D4D6F"/>
    <w:rsid w:val="002D5E7D"/>
    <w:rsid w:val="002D71A0"/>
    <w:rsid w:val="002E0331"/>
    <w:rsid w:val="002E081D"/>
    <w:rsid w:val="002E2744"/>
    <w:rsid w:val="002E3D54"/>
    <w:rsid w:val="002F0B28"/>
    <w:rsid w:val="002F38A9"/>
    <w:rsid w:val="002F6772"/>
    <w:rsid w:val="002F7D88"/>
    <w:rsid w:val="00301A96"/>
    <w:rsid w:val="00301ADA"/>
    <w:rsid w:val="003021CB"/>
    <w:rsid w:val="003025CD"/>
    <w:rsid w:val="00304796"/>
    <w:rsid w:val="00305913"/>
    <w:rsid w:val="00306F4E"/>
    <w:rsid w:val="00313650"/>
    <w:rsid w:val="00313897"/>
    <w:rsid w:val="003172AE"/>
    <w:rsid w:val="00317663"/>
    <w:rsid w:val="00317D41"/>
    <w:rsid w:val="00323D05"/>
    <w:rsid w:val="00325915"/>
    <w:rsid w:val="00326C1F"/>
    <w:rsid w:val="00332316"/>
    <w:rsid w:val="00332A43"/>
    <w:rsid w:val="00341302"/>
    <w:rsid w:val="00341DA8"/>
    <w:rsid w:val="003428BA"/>
    <w:rsid w:val="00344839"/>
    <w:rsid w:val="0036012C"/>
    <w:rsid w:val="0036540D"/>
    <w:rsid w:val="00366A3A"/>
    <w:rsid w:val="003677AC"/>
    <w:rsid w:val="00371B7D"/>
    <w:rsid w:val="003742AE"/>
    <w:rsid w:val="0037573D"/>
    <w:rsid w:val="003809DA"/>
    <w:rsid w:val="003838B9"/>
    <w:rsid w:val="00384ECC"/>
    <w:rsid w:val="00386A20"/>
    <w:rsid w:val="00387AA8"/>
    <w:rsid w:val="00393A43"/>
    <w:rsid w:val="003A2446"/>
    <w:rsid w:val="003A2499"/>
    <w:rsid w:val="003A2E1E"/>
    <w:rsid w:val="003A2E32"/>
    <w:rsid w:val="003A3297"/>
    <w:rsid w:val="003A3BF7"/>
    <w:rsid w:val="003A4D35"/>
    <w:rsid w:val="003A4EAB"/>
    <w:rsid w:val="003B35C3"/>
    <w:rsid w:val="003B58D0"/>
    <w:rsid w:val="003C119E"/>
    <w:rsid w:val="003D2472"/>
    <w:rsid w:val="003D7645"/>
    <w:rsid w:val="003D7EA2"/>
    <w:rsid w:val="003E1FB4"/>
    <w:rsid w:val="003E2BDC"/>
    <w:rsid w:val="003E5E42"/>
    <w:rsid w:val="003E60DE"/>
    <w:rsid w:val="003E6F65"/>
    <w:rsid w:val="003F5FD6"/>
    <w:rsid w:val="003F6CC9"/>
    <w:rsid w:val="004131AC"/>
    <w:rsid w:val="00414475"/>
    <w:rsid w:val="00420CC1"/>
    <w:rsid w:val="0042168B"/>
    <w:rsid w:val="0042447C"/>
    <w:rsid w:val="00426E64"/>
    <w:rsid w:val="00427178"/>
    <w:rsid w:val="00431CA5"/>
    <w:rsid w:val="00432159"/>
    <w:rsid w:val="0043276F"/>
    <w:rsid w:val="004340FA"/>
    <w:rsid w:val="0043790A"/>
    <w:rsid w:val="00443CDD"/>
    <w:rsid w:val="00447A3E"/>
    <w:rsid w:val="00456FA4"/>
    <w:rsid w:val="00461BF7"/>
    <w:rsid w:val="004708C3"/>
    <w:rsid w:val="004821E0"/>
    <w:rsid w:val="00491F7A"/>
    <w:rsid w:val="00492D25"/>
    <w:rsid w:val="004938F4"/>
    <w:rsid w:val="004967DB"/>
    <w:rsid w:val="00497D24"/>
    <w:rsid w:val="00497D80"/>
    <w:rsid w:val="004A0D0F"/>
    <w:rsid w:val="004A3984"/>
    <w:rsid w:val="004B0F56"/>
    <w:rsid w:val="004B1D05"/>
    <w:rsid w:val="004B4046"/>
    <w:rsid w:val="004B49D9"/>
    <w:rsid w:val="004C0020"/>
    <w:rsid w:val="004C0AF2"/>
    <w:rsid w:val="004C139A"/>
    <w:rsid w:val="004C26FB"/>
    <w:rsid w:val="004C2E43"/>
    <w:rsid w:val="004C2F34"/>
    <w:rsid w:val="004C328F"/>
    <w:rsid w:val="004C4CEC"/>
    <w:rsid w:val="004C525B"/>
    <w:rsid w:val="004C5C35"/>
    <w:rsid w:val="004C74E1"/>
    <w:rsid w:val="004D2A9E"/>
    <w:rsid w:val="004D4CEF"/>
    <w:rsid w:val="004E16F7"/>
    <w:rsid w:val="004E465C"/>
    <w:rsid w:val="004E5E18"/>
    <w:rsid w:val="004E6B9E"/>
    <w:rsid w:val="004F425B"/>
    <w:rsid w:val="004F643E"/>
    <w:rsid w:val="004F7EFB"/>
    <w:rsid w:val="005057CC"/>
    <w:rsid w:val="00507F9C"/>
    <w:rsid w:val="00513503"/>
    <w:rsid w:val="00514BF2"/>
    <w:rsid w:val="005217DA"/>
    <w:rsid w:val="00521E97"/>
    <w:rsid w:val="00525739"/>
    <w:rsid w:val="005258DB"/>
    <w:rsid w:val="00526843"/>
    <w:rsid w:val="00530761"/>
    <w:rsid w:val="0053271B"/>
    <w:rsid w:val="00532F04"/>
    <w:rsid w:val="00540C96"/>
    <w:rsid w:val="00541625"/>
    <w:rsid w:val="00541971"/>
    <w:rsid w:val="005430F7"/>
    <w:rsid w:val="005524F0"/>
    <w:rsid w:val="00552F3A"/>
    <w:rsid w:val="00554325"/>
    <w:rsid w:val="00554B5E"/>
    <w:rsid w:val="005550E6"/>
    <w:rsid w:val="00560077"/>
    <w:rsid w:val="0056068D"/>
    <w:rsid w:val="00563827"/>
    <w:rsid w:val="0056669F"/>
    <w:rsid w:val="00566EF5"/>
    <w:rsid w:val="005742AE"/>
    <w:rsid w:val="00574F34"/>
    <w:rsid w:val="00585428"/>
    <w:rsid w:val="005964AB"/>
    <w:rsid w:val="005A0C28"/>
    <w:rsid w:val="005A0FAF"/>
    <w:rsid w:val="005A258D"/>
    <w:rsid w:val="005A5163"/>
    <w:rsid w:val="005B2636"/>
    <w:rsid w:val="005B2F69"/>
    <w:rsid w:val="005B346B"/>
    <w:rsid w:val="005B3A09"/>
    <w:rsid w:val="005B559B"/>
    <w:rsid w:val="005C1E8C"/>
    <w:rsid w:val="005C26DF"/>
    <w:rsid w:val="005C4CA9"/>
    <w:rsid w:val="005D3582"/>
    <w:rsid w:val="005D398D"/>
    <w:rsid w:val="005D5398"/>
    <w:rsid w:val="005D5DE9"/>
    <w:rsid w:val="005E479F"/>
    <w:rsid w:val="005E4E2C"/>
    <w:rsid w:val="005E4E88"/>
    <w:rsid w:val="005E7E8D"/>
    <w:rsid w:val="005F41B2"/>
    <w:rsid w:val="005F650A"/>
    <w:rsid w:val="005F7F41"/>
    <w:rsid w:val="006023CA"/>
    <w:rsid w:val="00611856"/>
    <w:rsid w:val="00616A38"/>
    <w:rsid w:val="00620AD1"/>
    <w:rsid w:val="00621DE4"/>
    <w:rsid w:val="00624B40"/>
    <w:rsid w:val="00631E33"/>
    <w:rsid w:val="00633B90"/>
    <w:rsid w:val="00635EC2"/>
    <w:rsid w:val="00635FFC"/>
    <w:rsid w:val="00636203"/>
    <w:rsid w:val="00642D75"/>
    <w:rsid w:val="00643E46"/>
    <w:rsid w:val="00652501"/>
    <w:rsid w:val="0065421C"/>
    <w:rsid w:val="0065488D"/>
    <w:rsid w:val="0066039C"/>
    <w:rsid w:val="00661BFE"/>
    <w:rsid w:val="00661F63"/>
    <w:rsid w:val="00664F14"/>
    <w:rsid w:val="00666A4F"/>
    <w:rsid w:val="00666F1D"/>
    <w:rsid w:val="0066721A"/>
    <w:rsid w:val="00671864"/>
    <w:rsid w:val="00671F66"/>
    <w:rsid w:val="00674BEC"/>
    <w:rsid w:val="00676090"/>
    <w:rsid w:val="006777E7"/>
    <w:rsid w:val="00680AE0"/>
    <w:rsid w:val="006854E2"/>
    <w:rsid w:val="0068709F"/>
    <w:rsid w:val="006A04C1"/>
    <w:rsid w:val="006A0F5C"/>
    <w:rsid w:val="006A16C9"/>
    <w:rsid w:val="006A69E9"/>
    <w:rsid w:val="006B156A"/>
    <w:rsid w:val="006B3781"/>
    <w:rsid w:val="006C46F9"/>
    <w:rsid w:val="006C6FB8"/>
    <w:rsid w:val="006D04D9"/>
    <w:rsid w:val="006D0B7F"/>
    <w:rsid w:val="006D2170"/>
    <w:rsid w:val="006D5A50"/>
    <w:rsid w:val="006D61D3"/>
    <w:rsid w:val="006E504D"/>
    <w:rsid w:val="006F047F"/>
    <w:rsid w:val="006F12B6"/>
    <w:rsid w:val="006F403F"/>
    <w:rsid w:val="006F447C"/>
    <w:rsid w:val="006F4940"/>
    <w:rsid w:val="006F557E"/>
    <w:rsid w:val="00704097"/>
    <w:rsid w:val="00704A18"/>
    <w:rsid w:val="00704F9D"/>
    <w:rsid w:val="0070619A"/>
    <w:rsid w:val="007062CC"/>
    <w:rsid w:val="00710D6A"/>
    <w:rsid w:val="007158E0"/>
    <w:rsid w:val="00715F8D"/>
    <w:rsid w:val="00723A0A"/>
    <w:rsid w:val="00724528"/>
    <w:rsid w:val="0072652B"/>
    <w:rsid w:val="007313D8"/>
    <w:rsid w:val="00741EE2"/>
    <w:rsid w:val="00742336"/>
    <w:rsid w:val="00743EFF"/>
    <w:rsid w:val="00747930"/>
    <w:rsid w:val="00757A4B"/>
    <w:rsid w:val="00761E1B"/>
    <w:rsid w:val="00762179"/>
    <w:rsid w:val="00762250"/>
    <w:rsid w:val="00765470"/>
    <w:rsid w:val="0076623B"/>
    <w:rsid w:val="00773E42"/>
    <w:rsid w:val="0078276B"/>
    <w:rsid w:val="00786047"/>
    <w:rsid w:val="00787379"/>
    <w:rsid w:val="0079255B"/>
    <w:rsid w:val="00793523"/>
    <w:rsid w:val="00793F4A"/>
    <w:rsid w:val="007A135C"/>
    <w:rsid w:val="007A32D3"/>
    <w:rsid w:val="007A6C3C"/>
    <w:rsid w:val="007A7235"/>
    <w:rsid w:val="007B1D3C"/>
    <w:rsid w:val="007B3370"/>
    <w:rsid w:val="007C0103"/>
    <w:rsid w:val="007D4F05"/>
    <w:rsid w:val="007D7AB5"/>
    <w:rsid w:val="007E240B"/>
    <w:rsid w:val="007E3C82"/>
    <w:rsid w:val="007F1747"/>
    <w:rsid w:val="007F3364"/>
    <w:rsid w:val="007F40AF"/>
    <w:rsid w:val="00800D55"/>
    <w:rsid w:val="00805E6D"/>
    <w:rsid w:val="008066BA"/>
    <w:rsid w:val="00807C8B"/>
    <w:rsid w:val="00810B94"/>
    <w:rsid w:val="0081471F"/>
    <w:rsid w:val="00816A3A"/>
    <w:rsid w:val="008210C2"/>
    <w:rsid w:val="00823C12"/>
    <w:rsid w:val="008243CF"/>
    <w:rsid w:val="00827AB6"/>
    <w:rsid w:val="00830CE6"/>
    <w:rsid w:val="00836259"/>
    <w:rsid w:val="00836FC4"/>
    <w:rsid w:val="00843A55"/>
    <w:rsid w:val="0084588C"/>
    <w:rsid w:val="0085479D"/>
    <w:rsid w:val="00854FAB"/>
    <w:rsid w:val="008572BC"/>
    <w:rsid w:val="0085749D"/>
    <w:rsid w:val="00860383"/>
    <w:rsid w:val="00860D73"/>
    <w:rsid w:val="0086794E"/>
    <w:rsid w:val="00873484"/>
    <w:rsid w:val="00877BA8"/>
    <w:rsid w:val="00877D6A"/>
    <w:rsid w:val="008803DD"/>
    <w:rsid w:val="0088132A"/>
    <w:rsid w:val="00882A64"/>
    <w:rsid w:val="00884CD6"/>
    <w:rsid w:val="008941D5"/>
    <w:rsid w:val="008A672A"/>
    <w:rsid w:val="008A69CC"/>
    <w:rsid w:val="008B0522"/>
    <w:rsid w:val="008B6896"/>
    <w:rsid w:val="008C410A"/>
    <w:rsid w:val="008D115C"/>
    <w:rsid w:val="008D477C"/>
    <w:rsid w:val="008D6EA8"/>
    <w:rsid w:val="008D71E2"/>
    <w:rsid w:val="008E2CAB"/>
    <w:rsid w:val="008E47C8"/>
    <w:rsid w:val="008F4C77"/>
    <w:rsid w:val="00900783"/>
    <w:rsid w:val="0090503C"/>
    <w:rsid w:val="009177B6"/>
    <w:rsid w:val="00921957"/>
    <w:rsid w:val="00921DB9"/>
    <w:rsid w:val="009313F8"/>
    <w:rsid w:val="009333FF"/>
    <w:rsid w:val="00936E3C"/>
    <w:rsid w:val="0094179C"/>
    <w:rsid w:val="00941959"/>
    <w:rsid w:val="00944D35"/>
    <w:rsid w:val="009458C7"/>
    <w:rsid w:val="00950CB5"/>
    <w:rsid w:val="009559D5"/>
    <w:rsid w:val="00956481"/>
    <w:rsid w:val="00956899"/>
    <w:rsid w:val="009605FF"/>
    <w:rsid w:val="00961F55"/>
    <w:rsid w:val="00963785"/>
    <w:rsid w:val="009662D1"/>
    <w:rsid w:val="009714B3"/>
    <w:rsid w:val="0097368C"/>
    <w:rsid w:val="00976003"/>
    <w:rsid w:val="0098123F"/>
    <w:rsid w:val="0098289B"/>
    <w:rsid w:val="009858D0"/>
    <w:rsid w:val="00990828"/>
    <w:rsid w:val="00991FF5"/>
    <w:rsid w:val="00994D7D"/>
    <w:rsid w:val="009974A5"/>
    <w:rsid w:val="009A25BD"/>
    <w:rsid w:val="009A25DD"/>
    <w:rsid w:val="009A7278"/>
    <w:rsid w:val="009A7842"/>
    <w:rsid w:val="009B0485"/>
    <w:rsid w:val="009C0A9C"/>
    <w:rsid w:val="009C3738"/>
    <w:rsid w:val="009C5CF5"/>
    <w:rsid w:val="009C6EAC"/>
    <w:rsid w:val="009D770B"/>
    <w:rsid w:val="009E67AA"/>
    <w:rsid w:val="009F1544"/>
    <w:rsid w:val="009F2A15"/>
    <w:rsid w:val="009F3EAE"/>
    <w:rsid w:val="009F4EE1"/>
    <w:rsid w:val="009F7E1A"/>
    <w:rsid w:val="00A00967"/>
    <w:rsid w:val="00A01609"/>
    <w:rsid w:val="00A03428"/>
    <w:rsid w:val="00A0728F"/>
    <w:rsid w:val="00A23D68"/>
    <w:rsid w:val="00A24B9E"/>
    <w:rsid w:val="00A2750B"/>
    <w:rsid w:val="00A31883"/>
    <w:rsid w:val="00A40862"/>
    <w:rsid w:val="00A40E38"/>
    <w:rsid w:val="00A43779"/>
    <w:rsid w:val="00A45A5A"/>
    <w:rsid w:val="00A519D6"/>
    <w:rsid w:val="00A51F8A"/>
    <w:rsid w:val="00A52E19"/>
    <w:rsid w:val="00A5337A"/>
    <w:rsid w:val="00A53722"/>
    <w:rsid w:val="00A53ED7"/>
    <w:rsid w:val="00A55FBA"/>
    <w:rsid w:val="00A57E46"/>
    <w:rsid w:val="00A64B24"/>
    <w:rsid w:val="00A65667"/>
    <w:rsid w:val="00A70D35"/>
    <w:rsid w:val="00A73467"/>
    <w:rsid w:val="00A734C2"/>
    <w:rsid w:val="00A85DF4"/>
    <w:rsid w:val="00A87BB2"/>
    <w:rsid w:val="00A96E08"/>
    <w:rsid w:val="00AA4CEE"/>
    <w:rsid w:val="00AA4EC5"/>
    <w:rsid w:val="00AA68A9"/>
    <w:rsid w:val="00AB0A5B"/>
    <w:rsid w:val="00AC1A8C"/>
    <w:rsid w:val="00AC4DC3"/>
    <w:rsid w:val="00AC68DD"/>
    <w:rsid w:val="00AD11AB"/>
    <w:rsid w:val="00AD5D99"/>
    <w:rsid w:val="00AE1BF3"/>
    <w:rsid w:val="00AF246A"/>
    <w:rsid w:val="00AF2DCA"/>
    <w:rsid w:val="00AF32F0"/>
    <w:rsid w:val="00AF436F"/>
    <w:rsid w:val="00AF545D"/>
    <w:rsid w:val="00AF56C2"/>
    <w:rsid w:val="00B051EE"/>
    <w:rsid w:val="00B0677D"/>
    <w:rsid w:val="00B20811"/>
    <w:rsid w:val="00B24BD2"/>
    <w:rsid w:val="00B24E7B"/>
    <w:rsid w:val="00B25083"/>
    <w:rsid w:val="00B26BF0"/>
    <w:rsid w:val="00B27A3F"/>
    <w:rsid w:val="00B3216C"/>
    <w:rsid w:val="00B358F5"/>
    <w:rsid w:val="00B50B96"/>
    <w:rsid w:val="00B51A46"/>
    <w:rsid w:val="00B567D0"/>
    <w:rsid w:val="00B6472B"/>
    <w:rsid w:val="00B65D94"/>
    <w:rsid w:val="00B71870"/>
    <w:rsid w:val="00B718AE"/>
    <w:rsid w:val="00B80309"/>
    <w:rsid w:val="00B82126"/>
    <w:rsid w:val="00B83FEF"/>
    <w:rsid w:val="00B93F2E"/>
    <w:rsid w:val="00B97724"/>
    <w:rsid w:val="00BA017B"/>
    <w:rsid w:val="00BB02B7"/>
    <w:rsid w:val="00BB205D"/>
    <w:rsid w:val="00BB458D"/>
    <w:rsid w:val="00BB6C6C"/>
    <w:rsid w:val="00BC1B5B"/>
    <w:rsid w:val="00BC278C"/>
    <w:rsid w:val="00BC3E00"/>
    <w:rsid w:val="00BD1A68"/>
    <w:rsid w:val="00BD229C"/>
    <w:rsid w:val="00BD3FBD"/>
    <w:rsid w:val="00BE54F7"/>
    <w:rsid w:val="00BF02D2"/>
    <w:rsid w:val="00BF1A7B"/>
    <w:rsid w:val="00BF1FD1"/>
    <w:rsid w:val="00BF7AD3"/>
    <w:rsid w:val="00C03E08"/>
    <w:rsid w:val="00C12B44"/>
    <w:rsid w:val="00C13795"/>
    <w:rsid w:val="00C14671"/>
    <w:rsid w:val="00C254E4"/>
    <w:rsid w:val="00C2682E"/>
    <w:rsid w:val="00C26B37"/>
    <w:rsid w:val="00C2742F"/>
    <w:rsid w:val="00C30080"/>
    <w:rsid w:val="00C32037"/>
    <w:rsid w:val="00C34896"/>
    <w:rsid w:val="00C36728"/>
    <w:rsid w:val="00C36D3D"/>
    <w:rsid w:val="00C41810"/>
    <w:rsid w:val="00C45348"/>
    <w:rsid w:val="00C50027"/>
    <w:rsid w:val="00C52A27"/>
    <w:rsid w:val="00C52C23"/>
    <w:rsid w:val="00C575B4"/>
    <w:rsid w:val="00C615C7"/>
    <w:rsid w:val="00C66720"/>
    <w:rsid w:val="00C70A66"/>
    <w:rsid w:val="00C71331"/>
    <w:rsid w:val="00C7530C"/>
    <w:rsid w:val="00C83BD7"/>
    <w:rsid w:val="00C859B0"/>
    <w:rsid w:val="00C85AC8"/>
    <w:rsid w:val="00C90BED"/>
    <w:rsid w:val="00C927C6"/>
    <w:rsid w:val="00C93A77"/>
    <w:rsid w:val="00C93C0B"/>
    <w:rsid w:val="00C94087"/>
    <w:rsid w:val="00CA5825"/>
    <w:rsid w:val="00CA5F94"/>
    <w:rsid w:val="00CA61AA"/>
    <w:rsid w:val="00CC2567"/>
    <w:rsid w:val="00CC310F"/>
    <w:rsid w:val="00CD3272"/>
    <w:rsid w:val="00CD4CB9"/>
    <w:rsid w:val="00CD5F24"/>
    <w:rsid w:val="00CD72A3"/>
    <w:rsid w:val="00CE0D33"/>
    <w:rsid w:val="00CE5CFD"/>
    <w:rsid w:val="00CF2EDB"/>
    <w:rsid w:val="00CF3159"/>
    <w:rsid w:val="00CF4F09"/>
    <w:rsid w:val="00CF5F82"/>
    <w:rsid w:val="00CF6307"/>
    <w:rsid w:val="00CF662F"/>
    <w:rsid w:val="00D04A72"/>
    <w:rsid w:val="00D079F2"/>
    <w:rsid w:val="00D115DE"/>
    <w:rsid w:val="00D1206E"/>
    <w:rsid w:val="00D215DF"/>
    <w:rsid w:val="00D23C4C"/>
    <w:rsid w:val="00D30D7F"/>
    <w:rsid w:val="00D3192F"/>
    <w:rsid w:val="00D37A0E"/>
    <w:rsid w:val="00D37B5D"/>
    <w:rsid w:val="00D42823"/>
    <w:rsid w:val="00D44926"/>
    <w:rsid w:val="00D45E4B"/>
    <w:rsid w:val="00D5215F"/>
    <w:rsid w:val="00D56485"/>
    <w:rsid w:val="00D5783A"/>
    <w:rsid w:val="00D5785E"/>
    <w:rsid w:val="00D620AE"/>
    <w:rsid w:val="00D62421"/>
    <w:rsid w:val="00D632AF"/>
    <w:rsid w:val="00D746A8"/>
    <w:rsid w:val="00D756DE"/>
    <w:rsid w:val="00D838D1"/>
    <w:rsid w:val="00D86456"/>
    <w:rsid w:val="00D87F03"/>
    <w:rsid w:val="00D90813"/>
    <w:rsid w:val="00D9550B"/>
    <w:rsid w:val="00D96739"/>
    <w:rsid w:val="00D97516"/>
    <w:rsid w:val="00D9779A"/>
    <w:rsid w:val="00DA0ADA"/>
    <w:rsid w:val="00DA20BC"/>
    <w:rsid w:val="00DA37F5"/>
    <w:rsid w:val="00DB49D9"/>
    <w:rsid w:val="00DB56D3"/>
    <w:rsid w:val="00DC19FB"/>
    <w:rsid w:val="00DC1E54"/>
    <w:rsid w:val="00DC3784"/>
    <w:rsid w:val="00DC3E9E"/>
    <w:rsid w:val="00DC48D6"/>
    <w:rsid w:val="00DC6F8A"/>
    <w:rsid w:val="00DD0DDC"/>
    <w:rsid w:val="00DD2DE9"/>
    <w:rsid w:val="00DD506B"/>
    <w:rsid w:val="00DD593D"/>
    <w:rsid w:val="00DD7332"/>
    <w:rsid w:val="00DE49E4"/>
    <w:rsid w:val="00DF0D81"/>
    <w:rsid w:val="00DF15B5"/>
    <w:rsid w:val="00E011A3"/>
    <w:rsid w:val="00E14662"/>
    <w:rsid w:val="00E1616F"/>
    <w:rsid w:val="00E1790F"/>
    <w:rsid w:val="00E21DB5"/>
    <w:rsid w:val="00E310A5"/>
    <w:rsid w:val="00E311F7"/>
    <w:rsid w:val="00E332AD"/>
    <w:rsid w:val="00E37F8A"/>
    <w:rsid w:val="00E42B30"/>
    <w:rsid w:val="00E440D4"/>
    <w:rsid w:val="00E60BCA"/>
    <w:rsid w:val="00E613CF"/>
    <w:rsid w:val="00E62F5C"/>
    <w:rsid w:val="00E66FF5"/>
    <w:rsid w:val="00E67042"/>
    <w:rsid w:val="00E67415"/>
    <w:rsid w:val="00E7177A"/>
    <w:rsid w:val="00E721FA"/>
    <w:rsid w:val="00E73E72"/>
    <w:rsid w:val="00E93E38"/>
    <w:rsid w:val="00E97C04"/>
    <w:rsid w:val="00EA54B6"/>
    <w:rsid w:val="00EB2AE7"/>
    <w:rsid w:val="00EB2FCA"/>
    <w:rsid w:val="00EB4261"/>
    <w:rsid w:val="00EB5E20"/>
    <w:rsid w:val="00EC4D23"/>
    <w:rsid w:val="00ED1C56"/>
    <w:rsid w:val="00ED35D0"/>
    <w:rsid w:val="00ED75E5"/>
    <w:rsid w:val="00EE22C2"/>
    <w:rsid w:val="00EE3973"/>
    <w:rsid w:val="00EE3EFB"/>
    <w:rsid w:val="00EE53F5"/>
    <w:rsid w:val="00EE616F"/>
    <w:rsid w:val="00EE78A0"/>
    <w:rsid w:val="00EF7D9F"/>
    <w:rsid w:val="00F03501"/>
    <w:rsid w:val="00F04DAA"/>
    <w:rsid w:val="00F06EC3"/>
    <w:rsid w:val="00F07A4D"/>
    <w:rsid w:val="00F07EA8"/>
    <w:rsid w:val="00F10D1F"/>
    <w:rsid w:val="00F15DA5"/>
    <w:rsid w:val="00F22531"/>
    <w:rsid w:val="00F2276F"/>
    <w:rsid w:val="00F26D49"/>
    <w:rsid w:val="00F3080E"/>
    <w:rsid w:val="00F30C09"/>
    <w:rsid w:val="00F336F9"/>
    <w:rsid w:val="00F37314"/>
    <w:rsid w:val="00F37F20"/>
    <w:rsid w:val="00F45454"/>
    <w:rsid w:val="00F50FC6"/>
    <w:rsid w:val="00F544B3"/>
    <w:rsid w:val="00F553AF"/>
    <w:rsid w:val="00F57526"/>
    <w:rsid w:val="00F57546"/>
    <w:rsid w:val="00F60148"/>
    <w:rsid w:val="00F60D25"/>
    <w:rsid w:val="00F60EB4"/>
    <w:rsid w:val="00F62FE8"/>
    <w:rsid w:val="00F6625C"/>
    <w:rsid w:val="00F66463"/>
    <w:rsid w:val="00F672F0"/>
    <w:rsid w:val="00F67CBF"/>
    <w:rsid w:val="00F724A9"/>
    <w:rsid w:val="00F73CFC"/>
    <w:rsid w:val="00F8690D"/>
    <w:rsid w:val="00F87537"/>
    <w:rsid w:val="00F911B9"/>
    <w:rsid w:val="00F94FF6"/>
    <w:rsid w:val="00F96264"/>
    <w:rsid w:val="00FA06E0"/>
    <w:rsid w:val="00FA2EA9"/>
    <w:rsid w:val="00FA3563"/>
    <w:rsid w:val="00FB068C"/>
    <w:rsid w:val="00FC2E66"/>
    <w:rsid w:val="00FC6252"/>
    <w:rsid w:val="00FC7CE1"/>
    <w:rsid w:val="00FD1F5F"/>
    <w:rsid w:val="00FD20F7"/>
    <w:rsid w:val="00FD47D7"/>
    <w:rsid w:val="00FD5287"/>
    <w:rsid w:val="00FE3B04"/>
    <w:rsid w:val="00FE57F4"/>
    <w:rsid w:val="00FE5FA1"/>
    <w:rsid w:val="00FE60F4"/>
    <w:rsid w:val="00FF07C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E1C2D53"/>
  <w15:docId w15:val="{7CB0D831-1B15-2746-85C2-7C087CD7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paragraph" w:styleId="HTMLPreformatted">
    <w:name w:val="HTML Preformatted"/>
    <w:basedOn w:val="Normal"/>
    <w:link w:val="HTMLPreformattedChar"/>
    <w:uiPriority w:val="99"/>
    <w:unhideWhenUsed/>
    <w:rsid w:val="003E6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lang w:val="en-GB" w:eastAsia="en-GB"/>
    </w:rPr>
  </w:style>
  <w:style w:type="character" w:customStyle="1" w:styleId="HTMLPreformattedChar">
    <w:name w:val="HTML Preformatted Char"/>
    <w:basedOn w:val="DefaultParagraphFont"/>
    <w:link w:val="HTMLPreformatted"/>
    <w:uiPriority w:val="99"/>
    <w:rsid w:val="003E6F65"/>
    <w:rPr>
      <w:rFonts w:ascii="Courier New" w:eastAsia="Times New Roman" w:hAnsi="Courier New" w:cs="Courier New"/>
      <w:lang w:eastAsia="en-GB"/>
    </w:rPr>
  </w:style>
  <w:style w:type="table" w:customStyle="1" w:styleId="TableGrid1">
    <w:name w:val="Table Grid1"/>
    <w:basedOn w:val="TableNormal"/>
    <w:next w:val="TableGrid"/>
    <w:uiPriority w:val="59"/>
    <w:rsid w:val="0065421C"/>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H1">
    <w:name w:val="BulletH1"/>
    <w:basedOn w:val="Normal"/>
    <w:rsid w:val="0065421C"/>
    <w:pPr>
      <w:numPr>
        <w:numId w:val="45"/>
      </w:numPr>
      <w:spacing w:before="240" w:after="0" w:line="360" w:lineRule="auto"/>
    </w:pPr>
    <w:rPr>
      <w:rFonts w:ascii="Arial" w:eastAsia="Times New Roman" w:hAnsi="Arial" w:cs="Times New Roman"/>
      <w:b/>
      <w:bCs/>
      <w:lang w:val="en-GB" w:eastAsia="en-US"/>
    </w:rPr>
  </w:style>
  <w:style w:type="paragraph" w:customStyle="1" w:styleId="BulletNormal">
    <w:name w:val="BulletNormal"/>
    <w:basedOn w:val="BulletH1"/>
    <w:rsid w:val="0065421C"/>
    <w:pPr>
      <w:numPr>
        <w:ilvl w:val="1"/>
      </w:numPr>
    </w:pPr>
    <w:rPr>
      <w:b w:val="0"/>
    </w:rPr>
  </w:style>
  <w:style w:type="paragraph" w:customStyle="1" w:styleId="BullIndent">
    <w:name w:val="BullIndent"/>
    <w:basedOn w:val="BulletNormal"/>
    <w:rsid w:val="0065421C"/>
    <w:pPr>
      <w:numPr>
        <w:ilvl w:val="2"/>
      </w:numPr>
    </w:pPr>
  </w:style>
  <w:style w:type="paragraph" w:customStyle="1" w:styleId="NormOut">
    <w:name w:val="NormOut"/>
    <w:basedOn w:val="Normal"/>
    <w:rsid w:val="0065421C"/>
    <w:pPr>
      <w:numPr>
        <w:numId w:val="46"/>
      </w:numPr>
      <w:spacing w:before="240" w:after="120"/>
      <w:jc w:val="both"/>
    </w:pPr>
    <w:rPr>
      <w:rFonts w:ascii="Arial" w:eastAsia="Times New Roman" w:hAnsi="Arial" w:cs="Times New Roman"/>
      <w:b/>
      <w:sz w:val="22"/>
      <w:szCs w:val="24"/>
      <w:lang w:val="en-GB" w:eastAsia="en-GB"/>
    </w:rPr>
  </w:style>
  <w:style w:type="paragraph" w:customStyle="1" w:styleId="NormPlus">
    <w:name w:val="NormPlus"/>
    <w:basedOn w:val="NormOut"/>
    <w:rsid w:val="0065421C"/>
    <w:pPr>
      <w:numPr>
        <w:ilvl w:val="1"/>
      </w:numPr>
      <w:spacing w:before="120"/>
      <w:ind w:left="788" w:hanging="431"/>
      <w:jc w:val="left"/>
    </w:pPr>
    <w:rPr>
      <w:b w:val="0"/>
    </w:rPr>
  </w:style>
  <w:style w:type="paragraph" w:customStyle="1" w:styleId="NormOut1">
    <w:name w:val="NormOut1"/>
    <w:basedOn w:val="Normal"/>
    <w:rsid w:val="0065421C"/>
    <w:pPr>
      <w:tabs>
        <w:tab w:val="num" w:pos="425"/>
      </w:tabs>
      <w:spacing w:before="240" w:after="120"/>
      <w:ind w:left="567" w:hanging="567"/>
      <w:jc w:val="both"/>
    </w:pPr>
    <w:rPr>
      <w:rFonts w:ascii="Arial" w:eastAsia="Times New Roman" w:hAnsi="Arial" w:cs="Times New Roman"/>
      <w:b/>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649290025">
      <w:bodyDiv w:val="1"/>
      <w:marLeft w:val="0"/>
      <w:marRight w:val="0"/>
      <w:marTop w:val="0"/>
      <w:marBottom w:val="0"/>
      <w:divBdr>
        <w:top w:val="none" w:sz="0" w:space="0" w:color="auto"/>
        <w:left w:val="none" w:sz="0" w:space="0" w:color="auto"/>
        <w:bottom w:val="none" w:sz="0" w:space="0" w:color="auto"/>
        <w:right w:val="none" w:sz="0" w:space="0" w:color="auto"/>
      </w:divBdr>
    </w:div>
    <w:div w:id="907958811">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TermInfo xmlns="http://schemas.microsoft.com/office/infopath/2007/PartnerControls">
          <TermName xmlns="http://schemas.microsoft.com/office/infopath/2007/PartnerControls">Please select...</TermName>
          <TermId xmlns="http://schemas.microsoft.com/office/infopath/2007/PartnerControls">d4c3a339-8617-448c-96a4-aa4fe7bbd822</TermId>
        </TermInfo>
      </Terms>
    </a729509b32a34273afbf773e0c72336c>
    <Document_x0020_Description xmlns="1eee4ddb-a1f9-40b8-9282-d53ea582adeb" xsi:nil="true"/>
    <_dlc_DocId xmlns="1eee4ddb-a1f9-40b8-9282-d53ea582adeb">AAFXSQ5MW4ZD-189-46560</_dlc_DocId>
    <_dlc_DocIdUrl xmlns="1eee4ddb-a1f9-40b8-9282-d53ea582adeb">
      <Url>http://iws.ims.gov.uk/twa/goa/br/_layouts/DocIdRedir.aspx?ID=AAFXSQ5MW4ZD-189-46560</Url>
      <Description>AAFXSQ5MW4ZD-189-46560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H Document" ma:contentTypeID="0x010100B9957A1BF2FBE8478EF96F1BD89AD4CA0073C06C4B959B9447AF0C10F0C105981E" ma:contentTypeVersion="1" ma:contentTypeDescription="DH specific document content type for use in File Plan" ma:contentTypeScope="" ma:versionID="8a802362682827089d2c4492f9b2cc7d">
  <xsd:schema xmlns:xsd="http://www.w3.org/2001/XMLSchema" xmlns:xs="http://www.w3.org/2001/XMLSchema" xmlns:p="http://schemas.microsoft.com/office/2006/metadata/properties" xmlns:ns1="http://schemas.microsoft.com/sharepoint/v3" xmlns:ns2="1eee4ddb-a1f9-40b8-9282-d53ea582adeb" targetNamespace="http://schemas.microsoft.com/office/2006/metadata/properties" ma:root="true" ma:fieldsID="138103b65a94ecd8dea395caa8e11ab6" ns1:_="" ns2:_="">
    <xsd:import namespace="http://schemas.microsoft.com/sharepoint/v3"/>
    <xsd:import namespace="1eee4ddb-a1f9-40b8-9282-d53ea582adeb"/>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element name="_dlc_ExpireDateSaved" ma:index="37" nillable="true" ma:displayName="Original Expiration Date" ma:hidden="true" ma:internalName="_dlc_ExpireDateSaved" ma:readOnly="true">
      <xsd:simpleType>
        <xsd:restriction base="dms:DateTime"/>
      </xsd:simpleType>
    </xsd:element>
    <xsd:element name="_dlc_ExpireDate" ma:index="3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4"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6"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9" nillable="true" ma:displayName="Document Description" ma:internalName="Document_x0020_Description">
      <xsd:simpleType>
        <xsd:restriction base="dms:Text">
          <xsd:maxLength value="255"/>
        </xsd:restriction>
      </xsd:simpleType>
    </xsd:element>
    <xsd:element name="Reviewer" ma:index="10"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1"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2"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3" nillable="true" ma:displayName="Related Document" ma:internalName="Related_x0020_Document">
      <xsd:simpleType>
        <xsd:restriction base="dms:Text">
          <xsd:maxLength value="255"/>
        </xsd:restriction>
      </xsd:simpleType>
    </xsd:element>
    <xsd:element name="External_x0020_File_x0020_Reference" ma:index="15" nillable="true" ma:displayName="Registered Number" ma:internalName="External_x0020_File_x0020_Reference">
      <xsd:simpleType>
        <xsd:restriction base="dms:Text">
          <xsd:maxLength value="255"/>
        </xsd:restriction>
      </xsd:simpleType>
    </xsd:element>
    <xsd:element name="Retention_x0020_Trigger_x0020_Date" ma:index="16" nillable="true" ma:displayName="Retention Trigger Date" ma:format="DateOnly" ma:internalName="Retention_x0020_Trigger_x0020_Date">
      <xsd:simpleType>
        <xsd:restriction base="dms:DateTime"/>
      </xsd:simple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e993c7ebdb0844bda77b49081e8191e4" ma:index="24" ma:taxonomy="true" ma:internalName="e993c7ebdb0844bda77b49081e8191e4" ma:taxonomyFieldName="_cx_SecurityMarkings" ma:displayName="Protective Marking" ma:readOnly="false" ma:default="1;#NOT PROTECTIVELY MARKED|59351c5f-b7fd-4a97-8559-c38b9b573e6f"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8"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9" nillable="true" ma:taxonomy="true" ma:internalName="a729509b32a34273afbf773e0c72336c" ma:taxonomyFieldName="Document_x0020_Type" ma:displayName="Document Type" ma:readOnly="false" ma:default="89;#Please select...|d4c3a339-8617-448c-96a4-aa4fe7bbd822"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30"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2"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DCEA0-F13E-4B15-8796-D7279C54F3F8}">
  <ds:schemaRefs>
    <ds:schemaRef ds:uri="http://schemas.microsoft.com/sharepoint/events"/>
  </ds:schemaRefs>
</ds:datastoreItem>
</file>

<file path=customXml/itemProps2.xml><?xml version="1.0" encoding="utf-8"?>
<ds:datastoreItem xmlns:ds="http://schemas.openxmlformats.org/officeDocument/2006/customXml" ds:itemID="{82762F4C-EEEF-461E-85A4-954ED3F54E9A}">
  <ds:schemaRefs>
    <ds:schemaRef ds:uri="http://schemas.microsoft.com/office/2006/metadata/customXsn"/>
  </ds:schemaRefs>
</ds:datastoreItem>
</file>

<file path=customXml/itemProps3.xml><?xml version="1.0" encoding="utf-8"?>
<ds:datastoreItem xmlns:ds="http://schemas.openxmlformats.org/officeDocument/2006/customXml" ds:itemID="{43C6EED7-10EE-48FF-A6E9-45621AEA3EEB}">
  <ds:schemaRefs>
    <ds:schemaRef ds:uri="http://schemas.microsoft.com/sharepoint/v3/contenttype/forms"/>
  </ds:schemaRefs>
</ds:datastoreItem>
</file>

<file path=customXml/itemProps4.xml><?xml version="1.0" encoding="utf-8"?>
<ds:datastoreItem xmlns:ds="http://schemas.openxmlformats.org/officeDocument/2006/customXml" ds:itemID="{1D7EDD0E-A0C6-4EC0-9CC8-293C79FB4401}">
  <ds:schemaRefs>
    <ds:schemaRef ds:uri="http://schemas.microsoft.com/office/2006/metadata/properties"/>
    <ds:schemaRef ds:uri="http://schemas.microsoft.com/office/infopath/2007/PartnerControls"/>
    <ds:schemaRef ds:uri="1eee4ddb-a1f9-40b8-9282-d53ea582adeb"/>
  </ds:schemaRefs>
</ds:datastoreItem>
</file>

<file path=customXml/itemProps5.xml><?xml version="1.0" encoding="utf-8"?>
<ds:datastoreItem xmlns:ds="http://schemas.openxmlformats.org/officeDocument/2006/customXml" ds:itemID="{8B03C24C-199A-4626-A021-A10C03E30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EFA566F-3289-AE4A-9678-E391A320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TGDH</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Carling</dc:creator>
  <cp:lastModifiedBy>Louise Roxburgh</cp:lastModifiedBy>
  <cp:revision>3</cp:revision>
  <cp:lastPrinted>2016-11-03T14:27:00Z</cp:lastPrinted>
  <dcterms:created xsi:type="dcterms:W3CDTF">2018-08-22T18:53:00Z</dcterms:created>
  <dcterms:modified xsi:type="dcterms:W3CDTF">2018-09-01T18:34:00Z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0x010100B9957A1BF2FBE8478EF96F1BD89AD4CA0073C06C4B959B9447AF0C10F0C105981E</vt:lpwstr>
  </property>
  <property fmtid="{D5CDD505-2E9C-101B-9397-08002B2CF9AE}" pid="3" name="_dlc_DocIdItemGuid">
    <vt:lpwstr>e5be24e6-4f14-4aec-ac6f-aeec6849b972</vt:lpwstr>
  </property>
</Properties>
</file>